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BA" w:rsidRPr="001E683C" w:rsidRDefault="004708BA" w:rsidP="004708BA">
      <w:pPr>
        <w:tabs>
          <w:tab w:val="clear" w:pos="6237"/>
        </w:tabs>
        <w:autoSpaceDE w:val="0"/>
        <w:autoSpaceDN w:val="0"/>
        <w:adjustRightInd w:val="0"/>
        <w:spacing w:line="240" w:lineRule="auto"/>
        <w:rPr>
          <w:rFonts w:cs="Arial"/>
          <w:sz w:val="16"/>
          <w:szCs w:val="16"/>
        </w:rPr>
      </w:pPr>
      <w:bookmarkStart w:id="0" w:name="_GoBack"/>
      <w:bookmarkEnd w:id="0"/>
      <w:r w:rsidRPr="001E683C">
        <w:rPr>
          <w:rFonts w:eastAsiaTheme="minorHAnsi" w:cs="Arial"/>
          <w:color w:val="auto"/>
          <w:sz w:val="16"/>
          <w:szCs w:val="16"/>
          <w:lang w:eastAsia="en-US"/>
        </w:rPr>
        <w:t>Pursuant to the Norwegian Public Limited Liability Companies Act, section 6-16 a, the Board will present the following statement regarding remuneration of Kongsberg Automotive’s Executive Committee to the 201</w:t>
      </w:r>
      <w:r>
        <w:rPr>
          <w:rFonts w:eastAsiaTheme="minorHAnsi" w:cs="Arial"/>
          <w:color w:val="auto"/>
          <w:sz w:val="16"/>
          <w:szCs w:val="16"/>
          <w:lang w:eastAsia="en-US"/>
        </w:rPr>
        <w:t>6</w:t>
      </w:r>
      <w:r w:rsidRPr="001E683C">
        <w:rPr>
          <w:rFonts w:eastAsiaTheme="minorHAnsi" w:cs="Arial"/>
          <w:color w:val="auto"/>
          <w:sz w:val="16"/>
          <w:szCs w:val="16"/>
          <w:lang w:eastAsia="en-US"/>
        </w:rPr>
        <w:t xml:space="preserve"> Annual General Meeting.</w:t>
      </w:r>
    </w:p>
    <w:p w:rsidR="004708BA" w:rsidRDefault="004708BA" w:rsidP="0096149F">
      <w:pPr>
        <w:tabs>
          <w:tab w:val="clear" w:pos="6237"/>
        </w:tabs>
        <w:spacing w:line="276" w:lineRule="auto"/>
        <w:ind w:right="-7"/>
      </w:pPr>
    </w:p>
    <w:p w:rsidR="00593F48" w:rsidRDefault="000A0C02" w:rsidP="0096149F">
      <w:pPr>
        <w:tabs>
          <w:tab w:val="clear" w:pos="6237"/>
        </w:tabs>
        <w:spacing w:line="276" w:lineRule="auto"/>
        <w:ind w:right="-7"/>
      </w:pPr>
      <w:r w:rsidRPr="003C21BB">
        <w:t xml:space="preserve">The group should have </w:t>
      </w:r>
      <w:r w:rsidR="00CA1920">
        <w:t>Executives</w:t>
      </w:r>
      <w:r w:rsidRPr="003C21BB">
        <w:t xml:space="preserve"> who are able at all times to secure shareholders' and other stakeholders' interests in the best possible manner. One element to achieve this is to offer each leader a competitive compensation package.</w:t>
      </w:r>
    </w:p>
    <w:p w:rsidR="000A0C02" w:rsidRDefault="000A0C02" w:rsidP="00593F48">
      <w:pPr>
        <w:tabs>
          <w:tab w:val="clear" w:pos="6237"/>
        </w:tabs>
        <w:ind w:right="-7"/>
      </w:pPr>
    </w:p>
    <w:p w:rsidR="00FD1085" w:rsidRPr="003C21BB" w:rsidRDefault="00700EE0" w:rsidP="00FD1085">
      <w:pPr>
        <w:tabs>
          <w:tab w:val="clear" w:pos="6237"/>
        </w:tabs>
        <w:ind w:right="-7"/>
        <w:rPr>
          <w:b/>
        </w:rPr>
      </w:pPr>
      <w:r>
        <w:rPr>
          <w:b/>
        </w:rPr>
        <w:t>REMUNERATION GOVERNANCE</w:t>
      </w:r>
    </w:p>
    <w:p w:rsidR="0051142A" w:rsidRPr="003C21BB" w:rsidRDefault="0051142A" w:rsidP="00186F7D">
      <w:pPr>
        <w:tabs>
          <w:tab w:val="clear" w:pos="6237"/>
        </w:tabs>
        <w:autoSpaceDE w:val="0"/>
        <w:autoSpaceDN w:val="0"/>
        <w:adjustRightInd w:val="0"/>
        <w:spacing w:line="240" w:lineRule="auto"/>
        <w:rPr>
          <w:rFonts w:eastAsiaTheme="minorHAnsi" w:cs="Arial"/>
          <w:color w:val="auto"/>
          <w:szCs w:val="20"/>
          <w:lang w:eastAsia="en-US"/>
        </w:rPr>
      </w:pPr>
      <w:r w:rsidRPr="003C21BB">
        <w:rPr>
          <w:rFonts w:eastAsiaTheme="minorHAnsi" w:cs="Arial"/>
          <w:color w:val="auto"/>
          <w:szCs w:val="20"/>
          <w:lang w:eastAsia="en-US"/>
        </w:rPr>
        <w:t>The Board has appointed a Compensation Committee that is headed by the Chairwoman of the Board</w:t>
      </w:r>
      <w:r w:rsidR="00FD1085" w:rsidRPr="003C21BB">
        <w:rPr>
          <w:rFonts w:eastAsiaTheme="minorHAnsi" w:cs="Arial"/>
          <w:color w:val="auto"/>
          <w:szCs w:val="20"/>
          <w:lang w:eastAsia="en-US"/>
        </w:rPr>
        <w:t xml:space="preserve">. The Compensation Committee </w:t>
      </w:r>
      <w:r w:rsidRPr="003C21BB">
        <w:rPr>
          <w:rFonts w:eastAsiaTheme="minorHAnsi" w:cs="Arial"/>
          <w:color w:val="auto"/>
          <w:szCs w:val="20"/>
          <w:lang w:eastAsia="en-US"/>
        </w:rPr>
        <w:t>monitors decisions</w:t>
      </w:r>
      <w:r w:rsidR="00186F7D" w:rsidRPr="003C21BB">
        <w:rPr>
          <w:rFonts w:eastAsiaTheme="minorHAnsi" w:cs="Arial"/>
          <w:color w:val="auto"/>
          <w:szCs w:val="20"/>
          <w:lang w:eastAsia="en-US"/>
        </w:rPr>
        <w:t xml:space="preserve"> </w:t>
      </w:r>
      <w:r w:rsidRPr="003C21BB">
        <w:rPr>
          <w:rFonts w:eastAsiaTheme="minorHAnsi" w:cs="Arial"/>
          <w:color w:val="auto"/>
          <w:szCs w:val="20"/>
          <w:lang w:eastAsia="en-US"/>
        </w:rPr>
        <w:t>on matters regarding remuneration and terms for e</w:t>
      </w:r>
      <w:r w:rsidR="00186F7D" w:rsidRPr="003C21BB">
        <w:rPr>
          <w:rFonts w:eastAsiaTheme="minorHAnsi" w:cs="Arial"/>
          <w:color w:val="auto"/>
          <w:szCs w:val="20"/>
          <w:lang w:eastAsia="en-US"/>
        </w:rPr>
        <w:t>xecutives.</w:t>
      </w:r>
    </w:p>
    <w:p w:rsidR="0051142A" w:rsidRPr="003C21BB" w:rsidRDefault="0051142A" w:rsidP="00593F48">
      <w:pPr>
        <w:tabs>
          <w:tab w:val="clear" w:pos="6237"/>
        </w:tabs>
        <w:ind w:right="-7"/>
        <w:rPr>
          <w:rFonts w:cs="Arial"/>
          <w:szCs w:val="20"/>
        </w:rPr>
      </w:pPr>
    </w:p>
    <w:p w:rsidR="00B23D86" w:rsidRPr="003C21BB" w:rsidRDefault="00B23D86" w:rsidP="00B23D86">
      <w:pPr>
        <w:tabs>
          <w:tab w:val="clear" w:pos="6237"/>
        </w:tabs>
        <w:autoSpaceDE w:val="0"/>
        <w:autoSpaceDN w:val="0"/>
        <w:adjustRightInd w:val="0"/>
        <w:spacing w:line="240" w:lineRule="auto"/>
        <w:rPr>
          <w:rFonts w:eastAsiaTheme="minorHAnsi" w:cs="Arial"/>
          <w:color w:val="auto"/>
          <w:szCs w:val="20"/>
          <w:lang w:eastAsia="en-US"/>
        </w:rPr>
      </w:pPr>
      <w:r w:rsidRPr="003C21BB">
        <w:rPr>
          <w:rFonts w:eastAsiaTheme="minorHAnsi" w:cs="Arial"/>
          <w:color w:val="auto"/>
          <w:szCs w:val="20"/>
          <w:lang w:eastAsia="en-US"/>
        </w:rPr>
        <w:t xml:space="preserve">The CEO’s remuneration package, and any adjustments thereof, </w:t>
      </w:r>
      <w:proofErr w:type="gramStart"/>
      <w:r w:rsidRPr="003C21BB">
        <w:rPr>
          <w:rFonts w:eastAsiaTheme="minorHAnsi" w:cs="Arial"/>
          <w:color w:val="auto"/>
          <w:szCs w:val="20"/>
          <w:lang w:eastAsia="en-US"/>
        </w:rPr>
        <w:t>are first reviewed by the Compensation Committee and then approved by the Board</w:t>
      </w:r>
      <w:proofErr w:type="gramEnd"/>
      <w:r w:rsidRPr="003C21BB">
        <w:rPr>
          <w:rFonts w:eastAsiaTheme="minorHAnsi" w:cs="Arial"/>
          <w:color w:val="auto"/>
          <w:szCs w:val="20"/>
          <w:lang w:eastAsia="en-US"/>
        </w:rPr>
        <w:t xml:space="preserve">. </w:t>
      </w:r>
      <w:r w:rsidR="00FD1085" w:rsidRPr="003C21BB">
        <w:rPr>
          <w:rFonts w:cs="Arial"/>
          <w:szCs w:val="20"/>
        </w:rPr>
        <w:t>The Board of Directors considers annually the compensation of the CEO.</w:t>
      </w:r>
      <w:r w:rsidR="00FD1085" w:rsidRPr="003C21BB">
        <w:rPr>
          <w:rFonts w:eastAsiaTheme="minorHAnsi" w:cs="Arial"/>
          <w:color w:val="auto"/>
          <w:szCs w:val="20"/>
          <w:lang w:eastAsia="en-US"/>
        </w:rPr>
        <w:t xml:space="preserve"> </w:t>
      </w:r>
      <w:r w:rsidRPr="003C21BB">
        <w:rPr>
          <w:rFonts w:eastAsiaTheme="minorHAnsi" w:cs="Arial"/>
          <w:color w:val="auto"/>
          <w:szCs w:val="20"/>
          <w:lang w:eastAsia="en-US"/>
        </w:rPr>
        <w:t xml:space="preserve">The remuneration packages for the other executives, including adjustments of these, </w:t>
      </w:r>
      <w:proofErr w:type="gramStart"/>
      <w:r w:rsidRPr="003C21BB">
        <w:rPr>
          <w:rFonts w:eastAsiaTheme="minorHAnsi" w:cs="Arial"/>
          <w:color w:val="auto"/>
          <w:szCs w:val="20"/>
          <w:lang w:eastAsia="en-US"/>
        </w:rPr>
        <w:t>are agreed</w:t>
      </w:r>
      <w:proofErr w:type="gramEnd"/>
      <w:r w:rsidRPr="003C21BB">
        <w:rPr>
          <w:rFonts w:eastAsiaTheme="minorHAnsi" w:cs="Arial"/>
          <w:color w:val="auto"/>
          <w:szCs w:val="20"/>
          <w:lang w:eastAsia="en-US"/>
        </w:rPr>
        <w:t xml:space="preserve"> between the CEO and the respective manager.</w:t>
      </w:r>
    </w:p>
    <w:p w:rsidR="0051142A" w:rsidRDefault="0051142A" w:rsidP="00593F48">
      <w:pPr>
        <w:tabs>
          <w:tab w:val="clear" w:pos="6237"/>
        </w:tabs>
        <w:ind w:right="-7"/>
      </w:pPr>
    </w:p>
    <w:p w:rsidR="000A0C02" w:rsidRPr="00C2645B" w:rsidRDefault="000A0C02" w:rsidP="00593F48">
      <w:pPr>
        <w:tabs>
          <w:tab w:val="clear" w:pos="6237"/>
        </w:tabs>
        <w:ind w:right="-7"/>
        <w:rPr>
          <w:b/>
        </w:rPr>
      </w:pPr>
      <w:r w:rsidRPr="00C2645B">
        <w:rPr>
          <w:b/>
        </w:rPr>
        <w:t>PRINCIPLES FOR BASE SALARY</w:t>
      </w:r>
    </w:p>
    <w:p w:rsidR="00EB26E9" w:rsidRDefault="0051142A" w:rsidP="0051142A">
      <w:pPr>
        <w:tabs>
          <w:tab w:val="clear" w:pos="6237"/>
        </w:tabs>
        <w:autoSpaceDE w:val="0"/>
        <w:autoSpaceDN w:val="0"/>
        <w:adjustRightInd w:val="0"/>
        <w:spacing w:line="240" w:lineRule="auto"/>
        <w:rPr>
          <w:rFonts w:eastAsiaTheme="minorHAnsi" w:cs="Arial"/>
          <w:color w:val="auto"/>
          <w:szCs w:val="20"/>
          <w:lang w:eastAsia="en-US"/>
        </w:rPr>
      </w:pPr>
      <w:r w:rsidRPr="00C2645B">
        <w:rPr>
          <w:rFonts w:eastAsiaTheme="minorHAnsi" w:cs="Arial"/>
          <w:color w:val="auto"/>
          <w:szCs w:val="20"/>
          <w:lang w:eastAsia="en-US"/>
        </w:rPr>
        <w:t>The fixed salary should reflect the individual’s area of responsibi</w:t>
      </w:r>
      <w:r w:rsidR="000833D9" w:rsidRPr="00C2645B">
        <w:rPr>
          <w:rFonts w:eastAsiaTheme="minorHAnsi" w:cs="Arial"/>
          <w:color w:val="auto"/>
          <w:szCs w:val="20"/>
          <w:lang w:eastAsia="en-US"/>
        </w:rPr>
        <w:t>lity and performance over time.</w:t>
      </w:r>
      <w:r w:rsidR="009D43F9" w:rsidRPr="00C2645B">
        <w:rPr>
          <w:rFonts w:eastAsiaTheme="minorHAnsi" w:cs="Arial"/>
          <w:color w:val="auto"/>
          <w:szCs w:val="20"/>
          <w:lang w:eastAsia="en-US"/>
        </w:rPr>
        <w:t xml:space="preserve"> Kongsberg Automotive offer</w:t>
      </w:r>
      <w:r w:rsidR="00C2645B">
        <w:rPr>
          <w:rFonts w:eastAsiaTheme="minorHAnsi" w:cs="Arial"/>
          <w:color w:val="auto"/>
          <w:szCs w:val="20"/>
          <w:lang w:eastAsia="en-US"/>
        </w:rPr>
        <w:t>s</w:t>
      </w:r>
      <w:r w:rsidR="009D43F9" w:rsidRPr="00C2645B">
        <w:rPr>
          <w:rFonts w:eastAsiaTheme="minorHAnsi" w:cs="Arial"/>
          <w:color w:val="auto"/>
          <w:szCs w:val="20"/>
          <w:lang w:eastAsia="en-US"/>
        </w:rPr>
        <w:t xml:space="preserve"> base salary </w:t>
      </w:r>
      <w:proofErr w:type="gramStart"/>
      <w:r w:rsidR="009D43F9" w:rsidRPr="00C2645B">
        <w:rPr>
          <w:rFonts w:eastAsiaTheme="minorHAnsi" w:cs="Arial"/>
          <w:color w:val="auto"/>
          <w:szCs w:val="20"/>
          <w:lang w:eastAsia="en-US"/>
        </w:rPr>
        <w:t>levels which</w:t>
      </w:r>
      <w:proofErr w:type="gramEnd"/>
      <w:r w:rsidR="009D43F9" w:rsidRPr="00C2645B">
        <w:rPr>
          <w:rFonts w:eastAsiaTheme="minorHAnsi" w:cs="Arial"/>
          <w:color w:val="auto"/>
          <w:szCs w:val="20"/>
          <w:lang w:eastAsia="en-US"/>
        </w:rPr>
        <w:t xml:space="preserve"> are competitive</w:t>
      </w:r>
      <w:r w:rsidR="00913E5C">
        <w:rPr>
          <w:rFonts w:eastAsiaTheme="minorHAnsi" w:cs="Arial"/>
          <w:color w:val="auto"/>
          <w:szCs w:val="20"/>
          <w:lang w:eastAsia="en-US"/>
        </w:rPr>
        <w:t>, but not market leading</w:t>
      </w:r>
      <w:r w:rsidR="009D43F9" w:rsidRPr="00C2645B">
        <w:rPr>
          <w:rFonts w:eastAsiaTheme="minorHAnsi" w:cs="Arial"/>
          <w:color w:val="auto"/>
          <w:szCs w:val="20"/>
          <w:lang w:eastAsia="en-US"/>
        </w:rPr>
        <w:t xml:space="preserve"> in </w:t>
      </w:r>
      <w:r w:rsidR="00C2645B">
        <w:rPr>
          <w:rFonts w:eastAsiaTheme="minorHAnsi" w:cs="Arial"/>
          <w:color w:val="auto"/>
          <w:szCs w:val="20"/>
          <w:lang w:eastAsia="en-US"/>
        </w:rPr>
        <w:t>the market in which we operate.</w:t>
      </w:r>
      <w:r w:rsidR="00DB3484">
        <w:rPr>
          <w:rFonts w:eastAsiaTheme="minorHAnsi" w:cs="Arial"/>
          <w:color w:val="auto"/>
          <w:szCs w:val="20"/>
          <w:lang w:eastAsia="en-US"/>
        </w:rPr>
        <w:t xml:space="preserve"> Salaries are regularly benchmarked </w:t>
      </w:r>
      <w:r w:rsidR="00EC3F2C">
        <w:rPr>
          <w:rFonts w:eastAsiaTheme="minorHAnsi" w:cs="Arial"/>
          <w:color w:val="auto"/>
          <w:szCs w:val="20"/>
          <w:lang w:eastAsia="en-US"/>
        </w:rPr>
        <w:t>versus s</w:t>
      </w:r>
      <w:r w:rsidR="00EC3F2C" w:rsidRPr="00EC3F2C">
        <w:rPr>
          <w:rFonts w:eastAsiaTheme="minorHAnsi" w:cs="Arial"/>
          <w:color w:val="auto"/>
          <w:szCs w:val="20"/>
          <w:lang w:eastAsia="en-US"/>
        </w:rPr>
        <w:t xml:space="preserve">alary </w:t>
      </w:r>
      <w:r w:rsidR="00EC3F2C">
        <w:rPr>
          <w:rFonts w:eastAsiaTheme="minorHAnsi" w:cs="Arial"/>
          <w:color w:val="auto"/>
          <w:szCs w:val="20"/>
          <w:lang w:eastAsia="en-US"/>
        </w:rPr>
        <w:t>s</w:t>
      </w:r>
      <w:r w:rsidR="00EC3F2C" w:rsidRPr="00EC3F2C">
        <w:rPr>
          <w:rFonts w:eastAsiaTheme="minorHAnsi" w:cs="Arial"/>
          <w:color w:val="auto"/>
          <w:szCs w:val="20"/>
          <w:lang w:eastAsia="en-US"/>
        </w:rPr>
        <w:t>tatistics</w:t>
      </w:r>
      <w:r w:rsidR="00EC3F2C">
        <w:rPr>
          <w:rFonts w:eastAsiaTheme="minorHAnsi" w:cs="Arial"/>
          <w:color w:val="auto"/>
          <w:szCs w:val="20"/>
          <w:lang w:eastAsia="en-US"/>
        </w:rPr>
        <w:t xml:space="preserve"> provided by a global </w:t>
      </w:r>
      <w:proofErr w:type="gramStart"/>
      <w:r w:rsidR="00EC3F2C">
        <w:rPr>
          <w:rFonts w:eastAsiaTheme="minorHAnsi" w:cs="Arial"/>
          <w:color w:val="auto"/>
          <w:szCs w:val="20"/>
          <w:lang w:eastAsia="en-US"/>
        </w:rPr>
        <w:t>3</w:t>
      </w:r>
      <w:r w:rsidR="00EC3F2C" w:rsidRPr="00EC3F2C">
        <w:rPr>
          <w:rFonts w:eastAsiaTheme="minorHAnsi" w:cs="Arial"/>
          <w:color w:val="auto"/>
          <w:szCs w:val="20"/>
          <w:vertAlign w:val="superscript"/>
          <w:lang w:eastAsia="en-US"/>
        </w:rPr>
        <w:t>rd</w:t>
      </w:r>
      <w:proofErr w:type="gramEnd"/>
      <w:r w:rsidR="00EC3F2C">
        <w:rPr>
          <w:rFonts w:eastAsiaTheme="minorHAnsi" w:cs="Arial"/>
          <w:color w:val="auto"/>
          <w:szCs w:val="20"/>
          <w:lang w:eastAsia="en-US"/>
        </w:rPr>
        <w:t xml:space="preserve"> party human resource and related financial services consulting firm.</w:t>
      </w:r>
    </w:p>
    <w:p w:rsidR="009D43F9" w:rsidRDefault="009D43F9" w:rsidP="00593F48">
      <w:pPr>
        <w:tabs>
          <w:tab w:val="clear" w:pos="6237"/>
        </w:tabs>
        <w:ind w:right="-7"/>
      </w:pPr>
    </w:p>
    <w:p w:rsidR="000A0C02" w:rsidRDefault="000A0C02" w:rsidP="00593F48">
      <w:pPr>
        <w:tabs>
          <w:tab w:val="clear" w:pos="6237"/>
        </w:tabs>
        <w:ind w:right="-7"/>
        <w:rPr>
          <w:b/>
        </w:rPr>
      </w:pPr>
      <w:r w:rsidRPr="00C2645B">
        <w:rPr>
          <w:b/>
        </w:rPr>
        <w:t>VARIABLE COMPENSATION AND INCENTIVE SCHEMES</w:t>
      </w:r>
    </w:p>
    <w:p w:rsidR="00841C0A" w:rsidRPr="002F7DAC" w:rsidRDefault="00841C0A" w:rsidP="00841C0A">
      <w:pPr>
        <w:tabs>
          <w:tab w:val="clear" w:pos="6237"/>
        </w:tabs>
        <w:ind w:right="-7"/>
        <w:rPr>
          <w:i/>
          <w:szCs w:val="20"/>
        </w:rPr>
      </w:pPr>
      <w:r w:rsidRPr="002F7DAC">
        <w:rPr>
          <w:i/>
          <w:szCs w:val="20"/>
        </w:rPr>
        <w:t xml:space="preserve">Kongsberg Automotive's </w:t>
      </w:r>
      <w:proofErr w:type="gramStart"/>
      <w:r w:rsidRPr="00700EE0">
        <w:rPr>
          <w:i/>
        </w:rPr>
        <w:t>short term</w:t>
      </w:r>
      <w:proofErr w:type="gramEnd"/>
      <w:r w:rsidRPr="00700EE0">
        <w:rPr>
          <w:i/>
        </w:rPr>
        <w:t xml:space="preserve"> incentive</w:t>
      </w:r>
      <w:r>
        <w:t xml:space="preserve"> </w:t>
      </w:r>
      <w:r w:rsidRPr="002F7DAC">
        <w:rPr>
          <w:i/>
          <w:szCs w:val="20"/>
        </w:rPr>
        <w:t>(</w:t>
      </w:r>
      <w:r>
        <w:rPr>
          <w:i/>
          <w:szCs w:val="20"/>
        </w:rPr>
        <w:t>S</w:t>
      </w:r>
      <w:r w:rsidRPr="002F7DAC">
        <w:rPr>
          <w:i/>
          <w:szCs w:val="20"/>
        </w:rPr>
        <w:t>TI):</w:t>
      </w:r>
    </w:p>
    <w:p w:rsidR="00841C0A" w:rsidRPr="00841C0A" w:rsidRDefault="00841C0A" w:rsidP="00841C0A">
      <w:pPr>
        <w:tabs>
          <w:tab w:val="clear" w:pos="6237"/>
        </w:tabs>
        <w:spacing w:line="276" w:lineRule="auto"/>
        <w:ind w:right="-7"/>
        <w:rPr>
          <w:rFonts w:cs="Arial"/>
          <w:b/>
          <w:i/>
          <w:szCs w:val="20"/>
        </w:rPr>
      </w:pPr>
      <w:r w:rsidRPr="00841C0A">
        <w:rPr>
          <w:szCs w:val="20"/>
        </w:rPr>
        <w:lastRenderedPageBreak/>
        <w:t xml:space="preserve">The Annual Bonus Scheme (ABS) is a </w:t>
      </w:r>
      <w:proofErr w:type="gramStart"/>
      <w:r w:rsidRPr="00841C0A">
        <w:rPr>
          <w:szCs w:val="20"/>
        </w:rPr>
        <w:t>short term</w:t>
      </w:r>
      <w:proofErr w:type="gramEnd"/>
      <w:r w:rsidRPr="00841C0A">
        <w:rPr>
          <w:szCs w:val="20"/>
        </w:rPr>
        <w:t xml:space="preserve"> incentive with a timeframe of one year. </w:t>
      </w:r>
      <w:r w:rsidRPr="00841C0A">
        <w:rPr>
          <w:rFonts w:cs="Arial"/>
          <w:szCs w:val="20"/>
        </w:rPr>
        <w:t>The ABS is a worldwide incentive program designed to motivate, recognize and reward eligible employees for the contributions they make towards meeting KA’s financial and business targets, as well as personal targets. The objectives of the program are to (</w:t>
      </w:r>
      <w:proofErr w:type="spellStart"/>
      <w:r w:rsidRPr="00841C0A">
        <w:rPr>
          <w:rFonts w:cs="Arial"/>
          <w:szCs w:val="20"/>
        </w:rPr>
        <w:t>i</w:t>
      </w:r>
      <w:proofErr w:type="spellEnd"/>
      <w:r w:rsidRPr="00841C0A">
        <w:rPr>
          <w:rFonts w:cs="Arial"/>
          <w:szCs w:val="20"/>
        </w:rPr>
        <w:t>) clearly communicate to KA employees both KA’s targets and employees’ individual targets, (ii) communicate to KA employees how bonus payment is linked to KA performance and individual performance, (iii) drive the KA organization’s ability to meet or exceed KA’s performance targets, and (iv) improve KA’s ability to attract, retain and motivate employees.</w:t>
      </w:r>
    </w:p>
    <w:p w:rsidR="00841C0A" w:rsidRPr="00841C0A" w:rsidRDefault="00841C0A" w:rsidP="00841C0A">
      <w:pPr>
        <w:tabs>
          <w:tab w:val="clear" w:pos="6237"/>
        </w:tabs>
        <w:spacing w:line="276" w:lineRule="auto"/>
        <w:ind w:right="-7"/>
        <w:rPr>
          <w:b/>
          <w:szCs w:val="20"/>
        </w:rPr>
      </w:pPr>
    </w:p>
    <w:p w:rsidR="00841C0A" w:rsidRPr="00841C0A" w:rsidRDefault="00841C0A" w:rsidP="00841C0A">
      <w:pPr>
        <w:tabs>
          <w:tab w:val="clear" w:pos="6237"/>
        </w:tabs>
        <w:spacing w:line="276" w:lineRule="auto"/>
        <w:ind w:right="-7"/>
        <w:rPr>
          <w:rFonts w:eastAsiaTheme="minorHAnsi" w:cs="Arial"/>
          <w:b/>
          <w:color w:val="auto"/>
          <w:szCs w:val="20"/>
          <w:lang w:eastAsia="en-US"/>
        </w:rPr>
      </w:pPr>
      <w:r w:rsidRPr="00841C0A">
        <w:rPr>
          <w:szCs w:val="20"/>
        </w:rPr>
        <w:t>Executives receive variable salaries based on</w:t>
      </w:r>
      <w:r w:rsidRPr="00841C0A">
        <w:rPr>
          <w:rFonts w:eastAsiaTheme="minorHAnsi" w:cs="Arial"/>
          <w:color w:val="auto"/>
          <w:szCs w:val="20"/>
          <w:lang w:eastAsia="en-US"/>
        </w:rPr>
        <w:t xml:space="preserve"> Return on capital employed (ROCE) (</w:t>
      </w:r>
      <w:r w:rsidR="004708BA">
        <w:rPr>
          <w:rStyle w:val="hps"/>
          <w:rFonts w:cs="Arial"/>
          <w:szCs w:val="20"/>
        </w:rPr>
        <w:t>weighted 70</w:t>
      </w:r>
      <w:r w:rsidRPr="00841C0A">
        <w:rPr>
          <w:rStyle w:val="hps"/>
          <w:rFonts w:cs="Arial"/>
          <w:szCs w:val="20"/>
        </w:rPr>
        <w:t>%</w:t>
      </w:r>
      <w:r w:rsidRPr="00841C0A">
        <w:rPr>
          <w:rFonts w:eastAsiaTheme="minorHAnsi" w:cs="Arial"/>
          <w:color w:val="auto"/>
          <w:szCs w:val="20"/>
          <w:lang w:eastAsia="en-US"/>
        </w:rPr>
        <w:t>), year over year revenue growth (</w:t>
      </w:r>
      <w:r w:rsidRPr="00841C0A">
        <w:rPr>
          <w:rStyle w:val="hps"/>
          <w:rFonts w:cs="Arial"/>
          <w:szCs w:val="20"/>
        </w:rPr>
        <w:t>weighted</w:t>
      </w:r>
      <w:r w:rsidRPr="00841C0A">
        <w:rPr>
          <w:rFonts w:eastAsiaTheme="minorHAnsi" w:cs="Arial"/>
          <w:color w:val="auto"/>
          <w:szCs w:val="20"/>
          <w:lang w:eastAsia="en-US"/>
        </w:rPr>
        <w:t xml:space="preserve"> 10%), business wins (</w:t>
      </w:r>
      <w:r w:rsidRPr="00841C0A">
        <w:rPr>
          <w:rStyle w:val="hps"/>
          <w:rFonts w:cs="Arial"/>
          <w:szCs w:val="20"/>
        </w:rPr>
        <w:t>weighted</w:t>
      </w:r>
      <w:r w:rsidR="004708BA">
        <w:rPr>
          <w:rStyle w:val="hps"/>
          <w:rFonts w:cs="Arial"/>
          <w:szCs w:val="20"/>
        </w:rPr>
        <w:t xml:space="preserve"> </w:t>
      </w:r>
      <w:r w:rsidRPr="00841C0A">
        <w:rPr>
          <w:rFonts w:eastAsiaTheme="minorHAnsi" w:cs="Arial"/>
          <w:color w:val="auto"/>
          <w:szCs w:val="20"/>
          <w:lang w:eastAsia="en-US"/>
        </w:rPr>
        <w:t>10</w:t>
      </w:r>
      <w:r w:rsidR="004708BA">
        <w:rPr>
          <w:rFonts w:eastAsiaTheme="minorHAnsi" w:cs="Arial"/>
          <w:color w:val="auto"/>
          <w:szCs w:val="20"/>
          <w:lang w:eastAsia="en-US"/>
        </w:rPr>
        <w:t>%) and business performance (10</w:t>
      </w:r>
      <w:r w:rsidRPr="00841C0A">
        <w:rPr>
          <w:rFonts w:eastAsiaTheme="minorHAnsi" w:cs="Arial"/>
          <w:color w:val="auto"/>
          <w:szCs w:val="20"/>
          <w:lang w:eastAsia="en-US"/>
        </w:rPr>
        <w:t xml:space="preserve">%). Business performance is business targets for a unit, or as an individual. The business targets may reflect defined KPIs related to QA, HSE, CSR, financial performance, and so on. ROCE, year over year revenue growth, and business wins </w:t>
      </w:r>
      <w:proofErr w:type="gramStart"/>
      <w:r w:rsidRPr="00841C0A">
        <w:rPr>
          <w:rFonts w:eastAsiaTheme="minorHAnsi" w:cs="Arial"/>
          <w:color w:val="auto"/>
          <w:szCs w:val="20"/>
          <w:lang w:eastAsia="en-US"/>
        </w:rPr>
        <w:t>are measured</w:t>
      </w:r>
      <w:proofErr w:type="gramEnd"/>
      <w:r w:rsidRPr="00841C0A">
        <w:rPr>
          <w:rFonts w:eastAsiaTheme="minorHAnsi" w:cs="Arial"/>
          <w:color w:val="auto"/>
          <w:szCs w:val="20"/>
          <w:lang w:eastAsia="en-US"/>
        </w:rPr>
        <w:t xml:space="preserve"> at both Group and Business Area (BA) level.</w:t>
      </w:r>
    </w:p>
    <w:p w:rsidR="00841C0A" w:rsidRPr="00841C0A" w:rsidRDefault="00841C0A" w:rsidP="00841C0A">
      <w:pPr>
        <w:tabs>
          <w:tab w:val="clear" w:pos="6237"/>
        </w:tabs>
        <w:spacing w:line="276" w:lineRule="auto"/>
        <w:ind w:right="-7"/>
        <w:rPr>
          <w:rFonts w:eastAsiaTheme="minorHAnsi" w:cs="Arial"/>
          <w:b/>
          <w:color w:val="auto"/>
          <w:szCs w:val="20"/>
          <w:lang w:eastAsia="en-US"/>
        </w:rPr>
      </w:pPr>
    </w:p>
    <w:p w:rsidR="00841C0A" w:rsidRPr="00841C0A" w:rsidRDefault="004708BA" w:rsidP="00841C0A">
      <w:pPr>
        <w:tabs>
          <w:tab w:val="clear" w:pos="6237"/>
        </w:tabs>
        <w:spacing w:line="276" w:lineRule="auto"/>
        <w:ind w:right="-7"/>
        <w:rPr>
          <w:rFonts w:eastAsiaTheme="minorHAnsi" w:cs="Arial"/>
          <w:b/>
          <w:color w:val="auto"/>
          <w:szCs w:val="20"/>
          <w:lang w:eastAsia="en-US"/>
        </w:rPr>
      </w:pPr>
      <w:r>
        <w:rPr>
          <w:rFonts w:eastAsiaTheme="minorHAnsi" w:cs="Arial"/>
          <w:color w:val="auto"/>
          <w:szCs w:val="20"/>
          <w:lang w:eastAsia="en-US"/>
        </w:rPr>
        <w:t>Target bonus for the CEO is 50</w:t>
      </w:r>
      <w:r w:rsidR="00841C0A" w:rsidRPr="00841C0A">
        <w:rPr>
          <w:rFonts w:eastAsiaTheme="minorHAnsi" w:cs="Arial"/>
          <w:color w:val="auto"/>
          <w:szCs w:val="20"/>
          <w:lang w:eastAsia="en-US"/>
        </w:rPr>
        <w:t>% of gro</w:t>
      </w:r>
      <w:r>
        <w:rPr>
          <w:rFonts w:eastAsiaTheme="minorHAnsi" w:cs="Arial"/>
          <w:color w:val="auto"/>
          <w:szCs w:val="20"/>
          <w:lang w:eastAsia="en-US"/>
        </w:rPr>
        <w:t>ss base salary. Max bonus is 77</w:t>
      </w:r>
      <w:r w:rsidR="00841C0A" w:rsidRPr="00841C0A">
        <w:rPr>
          <w:rFonts w:eastAsiaTheme="minorHAnsi" w:cs="Arial"/>
          <w:color w:val="auto"/>
          <w:szCs w:val="20"/>
          <w:lang w:eastAsia="en-US"/>
        </w:rPr>
        <w:t xml:space="preserve">% of gross base salary. Average bonus last five years for the CEO is </w:t>
      </w:r>
      <w:r>
        <w:rPr>
          <w:rFonts w:eastAsiaTheme="minorHAnsi" w:cs="Arial"/>
          <w:color w:val="auto"/>
          <w:szCs w:val="20"/>
          <w:lang w:eastAsia="en-US"/>
        </w:rPr>
        <w:t>3</w:t>
      </w:r>
      <w:r w:rsidR="00841C0A" w:rsidRPr="00841C0A">
        <w:rPr>
          <w:rFonts w:eastAsiaTheme="minorHAnsi" w:cs="Arial"/>
          <w:color w:val="auto"/>
          <w:szCs w:val="20"/>
          <w:lang w:eastAsia="en-US"/>
        </w:rPr>
        <w:t>0% of gross base salary.</w:t>
      </w:r>
    </w:p>
    <w:p w:rsidR="00841C0A" w:rsidRPr="00841C0A" w:rsidRDefault="00841C0A" w:rsidP="00841C0A">
      <w:pPr>
        <w:tabs>
          <w:tab w:val="clear" w:pos="6237"/>
        </w:tabs>
        <w:spacing w:line="276" w:lineRule="auto"/>
        <w:ind w:right="-7"/>
        <w:rPr>
          <w:rFonts w:eastAsiaTheme="minorHAnsi" w:cs="Arial"/>
          <w:b/>
          <w:color w:val="auto"/>
          <w:szCs w:val="20"/>
          <w:lang w:eastAsia="en-US"/>
        </w:rPr>
      </w:pPr>
    </w:p>
    <w:p w:rsidR="00841C0A" w:rsidRDefault="00841C0A" w:rsidP="00841C0A">
      <w:pPr>
        <w:tabs>
          <w:tab w:val="clear" w:pos="6237"/>
        </w:tabs>
        <w:ind w:right="-7"/>
        <w:rPr>
          <w:rFonts w:eastAsiaTheme="minorHAnsi" w:cs="Arial"/>
          <w:color w:val="auto"/>
          <w:szCs w:val="20"/>
          <w:lang w:eastAsia="en-US"/>
        </w:rPr>
      </w:pPr>
      <w:r w:rsidRPr="00841C0A">
        <w:rPr>
          <w:rFonts w:eastAsiaTheme="minorHAnsi" w:cs="Arial"/>
          <w:color w:val="auto"/>
          <w:szCs w:val="20"/>
          <w:lang w:eastAsia="en-US"/>
        </w:rPr>
        <w:t xml:space="preserve">The performance goals for the CEO and Group </w:t>
      </w:r>
      <w:proofErr w:type="gramStart"/>
      <w:r w:rsidRPr="00841C0A">
        <w:rPr>
          <w:rFonts w:eastAsiaTheme="minorHAnsi" w:cs="Arial"/>
          <w:color w:val="auto"/>
          <w:szCs w:val="20"/>
          <w:lang w:eastAsia="en-US"/>
        </w:rPr>
        <w:t>are proposed by the Chairwoman of the Board and approved by the Board</w:t>
      </w:r>
      <w:proofErr w:type="gramEnd"/>
      <w:r w:rsidRPr="00841C0A">
        <w:rPr>
          <w:rFonts w:eastAsiaTheme="minorHAnsi" w:cs="Arial"/>
          <w:color w:val="auto"/>
          <w:szCs w:val="20"/>
          <w:lang w:eastAsia="en-US"/>
        </w:rPr>
        <w:t xml:space="preserve">. Goals for the other senior executives </w:t>
      </w:r>
      <w:proofErr w:type="gramStart"/>
      <w:r w:rsidRPr="00841C0A">
        <w:rPr>
          <w:rFonts w:eastAsiaTheme="minorHAnsi" w:cs="Arial"/>
          <w:color w:val="auto"/>
          <w:szCs w:val="20"/>
          <w:lang w:eastAsia="en-US"/>
        </w:rPr>
        <w:t>are determined by the CEO and reviewed by the Compensation Committee</w:t>
      </w:r>
      <w:proofErr w:type="gramEnd"/>
      <w:r w:rsidRPr="00841C0A">
        <w:rPr>
          <w:rFonts w:eastAsiaTheme="minorHAnsi" w:cs="Arial"/>
          <w:color w:val="auto"/>
          <w:szCs w:val="20"/>
          <w:lang w:eastAsia="en-US"/>
        </w:rPr>
        <w:t>.</w:t>
      </w:r>
    </w:p>
    <w:p w:rsidR="004708BA" w:rsidRPr="00841C0A" w:rsidRDefault="004708BA" w:rsidP="00841C0A">
      <w:pPr>
        <w:tabs>
          <w:tab w:val="clear" w:pos="6237"/>
        </w:tabs>
        <w:ind w:right="-7"/>
        <w:rPr>
          <w:b/>
          <w:szCs w:val="20"/>
        </w:rPr>
      </w:pPr>
    </w:p>
    <w:p w:rsidR="00841C0A" w:rsidRPr="002F7DAC" w:rsidRDefault="00841C0A" w:rsidP="00841C0A">
      <w:pPr>
        <w:tabs>
          <w:tab w:val="clear" w:pos="6237"/>
        </w:tabs>
        <w:ind w:right="-7"/>
        <w:rPr>
          <w:i/>
          <w:szCs w:val="20"/>
        </w:rPr>
      </w:pPr>
      <w:r w:rsidRPr="002F7DAC">
        <w:rPr>
          <w:i/>
          <w:szCs w:val="20"/>
        </w:rPr>
        <w:t xml:space="preserve">Kongsberg Automotive's </w:t>
      </w:r>
      <w:proofErr w:type="gramStart"/>
      <w:r w:rsidRPr="002F7DAC">
        <w:rPr>
          <w:i/>
          <w:szCs w:val="20"/>
        </w:rPr>
        <w:t>long term</w:t>
      </w:r>
      <w:proofErr w:type="gramEnd"/>
      <w:r w:rsidRPr="002F7DAC">
        <w:rPr>
          <w:i/>
          <w:szCs w:val="20"/>
        </w:rPr>
        <w:t xml:space="preserve"> incentive (LTI):</w:t>
      </w:r>
    </w:p>
    <w:p w:rsidR="00841C0A" w:rsidRPr="00841C0A" w:rsidRDefault="00841C0A" w:rsidP="00841C0A">
      <w:pPr>
        <w:tabs>
          <w:tab w:val="clear" w:pos="6237"/>
        </w:tabs>
        <w:spacing w:line="276" w:lineRule="auto"/>
        <w:ind w:right="-7"/>
        <w:rPr>
          <w:szCs w:val="20"/>
        </w:rPr>
      </w:pPr>
      <w:r w:rsidRPr="00841C0A">
        <w:rPr>
          <w:szCs w:val="20"/>
        </w:rPr>
        <w:t xml:space="preserve">The Board of Directors has established share option programmes for leading employees that </w:t>
      </w:r>
      <w:proofErr w:type="gramStart"/>
      <w:r w:rsidRPr="00841C0A">
        <w:rPr>
          <w:szCs w:val="20"/>
        </w:rPr>
        <w:t>have been approved</w:t>
      </w:r>
      <w:proofErr w:type="gramEnd"/>
      <w:r w:rsidRPr="00841C0A">
        <w:rPr>
          <w:szCs w:val="20"/>
        </w:rPr>
        <w:t xml:space="preserve"> by shareholders in the Annual General Meeting. It is the company's judgement that it is positive for long-term value creation in the group that leading employees hold shares and share options in Kongsberg Automotive.</w:t>
      </w:r>
    </w:p>
    <w:p w:rsidR="00841C0A" w:rsidRPr="00841C0A" w:rsidRDefault="00841C0A" w:rsidP="00841C0A">
      <w:pPr>
        <w:tabs>
          <w:tab w:val="clear" w:pos="6237"/>
        </w:tabs>
        <w:spacing w:line="276" w:lineRule="auto"/>
        <w:ind w:right="-7"/>
        <w:rPr>
          <w:szCs w:val="20"/>
        </w:rPr>
      </w:pPr>
    </w:p>
    <w:p w:rsidR="00841C0A" w:rsidRPr="00841C0A" w:rsidRDefault="00841C0A" w:rsidP="00841C0A">
      <w:pPr>
        <w:tabs>
          <w:tab w:val="clear" w:pos="6237"/>
        </w:tabs>
        <w:spacing w:line="276" w:lineRule="auto"/>
        <w:ind w:right="-7"/>
        <w:rPr>
          <w:szCs w:val="20"/>
        </w:rPr>
      </w:pPr>
      <w:proofErr w:type="gramStart"/>
      <w:r w:rsidRPr="00841C0A">
        <w:rPr>
          <w:rFonts w:cs="Arial"/>
          <w:szCs w:val="20"/>
          <w:lang w:val="en-US"/>
        </w:rPr>
        <w:t>The intention of this plan is to (</w:t>
      </w:r>
      <w:proofErr w:type="spellStart"/>
      <w:r w:rsidRPr="00841C0A">
        <w:rPr>
          <w:rFonts w:cs="Arial"/>
          <w:szCs w:val="20"/>
          <w:lang w:val="en-US"/>
        </w:rPr>
        <w:t>i</w:t>
      </w:r>
      <w:proofErr w:type="spellEnd"/>
      <w:r w:rsidRPr="00841C0A">
        <w:rPr>
          <w:rFonts w:cs="Arial"/>
          <w:szCs w:val="20"/>
          <w:lang w:val="en-US"/>
        </w:rPr>
        <w:t>) attract and retain employees whose service is important to the Company's success, (ii) motivate such employees to achieve long-term goals of the Company, (iii) provide incentive compensation opportunities to such employees which are competitive with those of other companies, and (iv) encourage such employees to own common shares of the Parent Company and thereby share a common financial interest with the other shareholders of the Company.</w:t>
      </w:r>
      <w:proofErr w:type="gramEnd"/>
    </w:p>
    <w:p w:rsidR="00841C0A" w:rsidRPr="00841C0A" w:rsidRDefault="00841C0A" w:rsidP="00841C0A">
      <w:pPr>
        <w:tabs>
          <w:tab w:val="clear" w:pos="6237"/>
        </w:tabs>
        <w:spacing w:line="276" w:lineRule="auto"/>
        <w:ind w:right="-7"/>
        <w:rPr>
          <w:szCs w:val="20"/>
        </w:rPr>
      </w:pPr>
    </w:p>
    <w:p w:rsidR="004F73A8" w:rsidRDefault="00841C0A" w:rsidP="00841C0A">
      <w:pPr>
        <w:tabs>
          <w:tab w:val="clear" w:pos="6237"/>
        </w:tabs>
        <w:ind w:right="-7"/>
        <w:rPr>
          <w:szCs w:val="20"/>
        </w:rPr>
      </w:pPr>
      <w:r w:rsidRPr="00841C0A">
        <w:rPr>
          <w:szCs w:val="20"/>
        </w:rPr>
        <w:t>The Board of Directors can offer share options to leading employees when shareholders have given autho</w:t>
      </w:r>
      <w:r w:rsidR="004F73A8">
        <w:rPr>
          <w:szCs w:val="20"/>
        </w:rPr>
        <w:t>rity to run options programmes:</w:t>
      </w:r>
    </w:p>
    <w:p w:rsidR="004F73A8" w:rsidRPr="004F73A8" w:rsidRDefault="00841C0A" w:rsidP="004F73A8">
      <w:pPr>
        <w:pStyle w:val="ListParagraph"/>
        <w:numPr>
          <w:ilvl w:val="0"/>
          <w:numId w:val="15"/>
        </w:numPr>
        <w:tabs>
          <w:tab w:val="clear" w:pos="6237"/>
        </w:tabs>
        <w:ind w:right="-7"/>
        <w:rPr>
          <w:b/>
          <w:szCs w:val="20"/>
        </w:rPr>
      </w:pPr>
      <w:r w:rsidRPr="004F73A8">
        <w:rPr>
          <w:szCs w:val="20"/>
        </w:rPr>
        <w:t>The exercise price of the options shall be the average trading price of the KOA share the first 10 days after presentation of the 4th quarter results.</w:t>
      </w:r>
    </w:p>
    <w:p w:rsidR="004F73A8" w:rsidRPr="004708BA" w:rsidRDefault="004708BA" w:rsidP="004F73A8">
      <w:pPr>
        <w:pStyle w:val="ListParagraph"/>
        <w:numPr>
          <w:ilvl w:val="0"/>
          <w:numId w:val="15"/>
        </w:numPr>
        <w:tabs>
          <w:tab w:val="clear" w:pos="6237"/>
        </w:tabs>
        <w:ind w:right="-7"/>
        <w:rPr>
          <w:b/>
          <w:szCs w:val="20"/>
        </w:rPr>
      </w:pPr>
      <w:r w:rsidRPr="004708BA">
        <w:rPr>
          <w:bCs/>
          <w:szCs w:val="20"/>
          <w:lang w:val="en-US"/>
        </w:rPr>
        <w:t>O</w:t>
      </w:r>
      <w:r w:rsidR="00841C0A" w:rsidRPr="004708BA">
        <w:rPr>
          <w:bCs/>
          <w:szCs w:val="20"/>
          <w:lang w:val="en-US"/>
        </w:rPr>
        <w:t xml:space="preserve">ptions granted can be exercised at the earliest after 3 years. </w:t>
      </w:r>
      <w:r w:rsidR="00841C0A" w:rsidRPr="004708BA">
        <w:rPr>
          <w:szCs w:val="20"/>
        </w:rPr>
        <w:t xml:space="preserve">The exercise period </w:t>
      </w:r>
      <w:r w:rsidR="00C05C8C" w:rsidRPr="004708BA">
        <w:rPr>
          <w:szCs w:val="20"/>
        </w:rPr>
        <w:t xml:space="preserve">shall typically be </w:t>
      </w:r>
      <w:r w:rsidR="0097755B">
        <w:rPr>
          <w:szCs w:val="20"/>
        </w:rPr>
        <w:t>4</w:t>
      </w:r>
      <w:r w:rsidR="00C05C8C" w:rsidRPr="004708BA">
        <w:rPr>
          <w:szCs w:val="20"/>
        </w:rPr>
        <w:t xml:space="preserve"> years.</w:t>
      </w:r>
    </w:p>
    <w:p w:rsidR="004F73A8" w:rsidRPr="004708BA" w:rsidRDefault="004F73A8" w:rsidP="004F73A8">
      <w:pPr>
        <w:numPr>
          <w:ilvl w:val="0"/>
          <w:numId w:val="16"/>
        </w:numPr>
        <w:tabs>
          <w:tab w:val="clear" w:pos="6237"/>
        </w:tabs>
        <w:overflowPunct w:val="0"/>
        <w:autoSpaceDE w:val="0"/>
        <w:autoSpaceDN w:val="0"/>
        <w:adjustRightInd w:val="0"/>
        <w:spacing w:line="240" w:lineRule="auto"/>
        <w:ind w:left="714" w:hanging="357"/>
        <w:contextualSpacing/>
        <w:jc w:val="both"/>
        <w:textAlignment w:val="baseline"/>
        <w:rPr>
          <w:rFonts w:cs="Arial"/>
          <w:szCs w:val="20"/>
        </w:rPr>
      </w:pPr>
      <w:r w:rsidRPr="004708BA">
        <w:rPr>
          <w:rFonts w:cs="Arial"/>
          <w:szCs w:val="20"/>
        </w:rPr>
        <w:t>Minimum profit per share option to be eligible</w:t>
      </w:r>
      <w:r w:rsidR="004708BA" w:rsidRPr="004708BA">
        <w:rPr>
          <w:rFonts w:cs="Arial"/>
          <w:szCs w:val="20"/>
        </w:rPr>
        <w:t xml:space="preserve"> to exercise an option is NOK 1</w:t>
      </w:r>
      <w:r w:rsidRPr="004708BA">
        <w:rPr>
          <w:rFonts w:cs="Arial"/>
          <w:szCs w:val="20"/>
        </w:rPr>
        <w:t>.</w:t>
      </w:r>
    </w:p>
    <w:p w:rsidR="004F73A8" w:rsidRPr="004708BA" w:rsidRDefault="004708BA" w:rsidP="004708BA">
      <w:pPr>
        <w:pStyle w:val="ListParagraph"/>
        <w:numPr>
          <w:ilvl w:val="0"/>
          <w:numId w:val="15"/>
        </w:numPr>
        <w:tabs>
          <w:tab w:val="clear" w:pos="6237"/>
        </w:tabs>
        <w:ind w:right="-7"/>
        <w:rPr>
          <w:b/>
          <w:szCs w:val="20"/>
        </w:rPr>
      </w:pPr>
      <w:r w:rsidRPr="004708BA">
        <w:rPr>
          <w:szCs w:val="20"/>
        </w:rPr>
        <w:t>Any calendar year, each optionee’s aggregated gross profit from exercise of options under all share option programs shall not exceed 3 years gross base salary</w:t>
      </w:r>
      <w:r w:rsidR="004F73A8" w:rsidRPr="004708BA">
        <w:rPr>
          <w:szCs w:val="20"/>
        </w:rPr>
        <w:t>.</w:t>
      </w:r>
    </w:p>
    <w:p w:rsidR="004F73A8" w:rsidRPr="004F73A8" w:rsidRDefault="004F73A8" w:rsidP="004F73A8">
      <w:pPr>
        <w:pStyle w:val="ListParagraph"/>
        <w:numPr>
          <w:ilvl w:val="0"/>
          <w:numId w:val="15"/>
        </w:numPr>
        <w:tabs>
          <w:tab w:val="clear" w:pos="6237"/>
        </w:tabs>
        <w:adjustRightInd w:val="0"/>
        <w:spacing w:line="240" w:lineRule="auto"/>
        <w:ind w:left="714" w:right="-7" w:hanging="357"/>
        <w:rPr>
          <w:b/>
          <w:szCs w:val="20"/>
        </w:rPr>
      </w:pPr>
      <w:r w:rsidRPr="004F73A8">
        <w:rPr>
          <w:bCs/>
          <w:szCs w:val="20"/>
          <w:lang w:val="en-US"/>
        </w:rPr>
        <w:lastRenderedPageBreak/>
        <w:t xml:space="preserve">To </w:t>
      </w:r>
      <w:proofErr w:type="gramStart"/>
      <w:r w:rsidRPr="004F73A8">
        <w:rPr>
          <w:bCs/>
          <w:szCs w:val="20"/>
          <w:lang w:val="en-US"/>
        </w:rPr>
        <w:t>be granted</w:t>
      </w:r>
      <w:proofErr w:type="gramEnd"/>
      <w:r w:rsidRPr="004F73A8">
        <w:rPr>
          <w:bCs/>
          <w:szCs w:val="20"/>
          <w:lang w:val="en-US"/>
        </w:rPr>
        <w:t xml:space="preserve"> options and to maintain options, the employee must at any time hold a number of KOA shares at least equivalent to</w:t>
      </w:r>
      <w:r w:rsidR="004708BA">
        <w:rPr>
          <w:bCs/>
          <w:szCs w:val="20"/>
          <w:lang w:val="en-US"/>
        </w:rPr>
        <w:t xml:space="preserve"> 10</w:t>
      </w:r>
      <w:r>
        <w:rPr>
          <w:bCs/>
          <w:szCs w:val="20"/>
          <w:lang w:val="en-US"/>
        </w:rPr>
        <w:t>% of the number of options.</w:t>
      </w:r>
    </w:p>
    <w:p w:rsidR="00841C0A" w:rsidRPr="004F73A8" w:rsidRDefault="00841C0A" w:rsidP="004F73A8">
      <w:pPr>
        <w:pStyle w:val="ListParagraph"/>
        <w:numPr>
          <w:ilvl w:val="0"/>
          <w:numId w:val="15"/>
        </w:numPr>
        <w:tabs>
          <w:tab w:val="clear" w:pos="6237"/>
        </w:tabs>
        <w:ind w:right="-7"/>
        <w:rPr>
          <w:b/>
          <w:szCs w:val="20"/>
        </w:rPr>
      </w:pPr>
      <w:r w:rsidRPr="004F73A8">
        <w:rPr>
          <w:bCs/>
          <w:szCs w:val="20"/>
          <w:lang w:val="en-US"/>
        </w:rPr>
        <w:t xml:space="preserve">Principally, if an employee leaves the company, outstanding </w:t>
      </w:r>
      <w:proofErr w:type="gramStart"/>
      <w:r w:rsidRPr="004F73A8">
        <w:rPr>
          <w:bCs/>
          <w:szCs w:val="20"/>
          <w:lang w:val="en-US"/>
        </w:rPr>
        <w:t>options which were not exercisable on the date of termination of</w:t>
      </w:r>
      <w:proofErr w:type="gramEnd"/>
      <w:r w:rsidRPr="004F73A8">
        <w:rPr>
          <w:bCs/>
          <w:szCs w:val="20"/>
          <w:lang w:val="en-US"/>
        </w:rPr>
        <w:t xml:space="preserve"> employment will be forfeited.</w:t>
      </w:r>
    </w:p>
    <w:p w:rsidR="00841C0A" w:rsidRDefault="00841C0A" w:rsidP="00593F48">
      <w:pPr>
        <w:tabs>
          <w:tab w:val="clear" w:pos="6237"/>
        </w:tabs>
        <w:ind w:right="-7"/>
        <w:rPr>
          <w:b/>
        </w:rPr>
      </w:pPr>
    </w:p>
    <w:p w:rsidR="000A0C02" w:rsidRPr="002F7DAC" w:rsidRDefault="000A0C02" w:rsidP="00593F48">
      <w:pPr>
        <w:tabs>
          <w:tab w:val="clear" w:pos="6237"/>
        </w:tabs>
        <w:ind w:right="-7"/>
        <w:rPr>
          <w:b/>
        </w:rPr>
      </w:pPr>
      <w:r w:rsidRPr="002F7DAC">
        <w:rPr>
          <w:b/>
        </w:rPr>
        <w:t xml:space="preserve">PRINCIPLES FOR </w:t>
      </w:r>
      <w:r w:rsidR="00F00FE0">
        <w:rPr>
          <w:b/>
        </w:rPr>
        <w:t>BENEFITS</w:t>
      </w:r>
    </w:p>
    <w:p w:rsidR="00B23D86" w:rsidRDefault="00B23D86" w:rsidP="00B23D86">
      <w:pPr>
        <w:tabs>
          <w:tab w:val="clear" w:pos="6237"/>
        </w:tabs>
        <w:autoSpaceDE w:val="0"/>
        <w:autoSpaceDN w:val="0"/>
        <w:adjustRightInd w:val="0"/>
        <w:spacing w:line="240" w:lineRule="auto"/>
        <w:rPr>
          <w:rFonts w:eastAsiaTheme="minorHAnsi" w:cs="Arial"/>
          <w:color w:val="auto"/>
          <w:szCs w:val="20"/>
          <w:lang w:eastAsia="en-US"/>
        </w:rPr>
      </w:pPr>
      <w:r w:rsidRPr="002F7DAC">
        <w:rPr>
          <w:rFonts w:eastAsiaTheme="minorHAnsi" w:cs="Arial"/>
          <w:color w:val="auto"/>
          <w:szCs w:val="20"/>
          <w:lang w:eastAsia="en-US"/>
        </w:rPr>
        <w:t>In addition to fixed and variable salary, other benefits such as health insurance, newspaper</w:t>
      </w:r>
      <w:r w:rsidR="002F7DAC" w:rsidRPr="002F7DAC">
        <w:rPr>
          <w:rFonts w:eastAsiaTheme="minorHAnsi" w:cs="Arial"/>
          <w:color w:val="auto"/>
          <w:szCs w:val="20"/>
          <w:lang w:eastAsia="en-US"/>
        </w:rPr>
        <w:t xml:space="preserve">, internet </w:t>
      </w:r>
      <w:r w:rsidRPr="002F7DAC">
        <w:rPr>
          <w:rFonts w:eastAsiaTheme="minorHAnsi" w:cs="Arial"/>
          <w:color w:val="auto"/>
          <w:szCs w:val="20"/>
          <w:lang w:eastAsia="en-US"/>
        </w:rPr>
        <w:t xml:space="preserve">and telephone </w:t>
      </w:r>
      <w:proofErr w:type="gramStart"/>
      <w:r w:rsidRPr="002F7DAC">
        <w:rPr>
          <w:rFonts w:eastAsiaTheme="minorHAnsi" w:cs="Arial"/>
          <w:color w:val="auto"/>
          <w:szCs w:val="20"/>
          <w:lang w:eastAsia="en-US"/>
        </w:rPr>
        <w:t>might be provided</w:t>
      </w:r>
      <w:proofErr w:type="gramEnd"/>
      <w:r w:rsidRPr="002F7DAC">
        <w:rPr>
          <w:rFonts w:eastAsiaTheme="minorHAnsi" w:cs="Arial"/>
          <w:color w:val="auto"/>
          <w:szCs w:val="20"/>
          <w:lang w:eastAsia="en-US"/>
        </w:rPr>
        <w:t>. The total value of these benefits should be modest and only account for a limited part of the total remuneration package.</w:t>
      </w:r>
    </w:p>
    <w:p w:rsidR="00C123FC" w:rsidRDefault="00C123FC" w:rsidP="00B23D86">
      <w:pPr>
        <w:tabs>
          <w:tab w:val="clear" w:pos="6237"/>
        </w:tabs>
        <w:autoSpaceDE w:val="0"/>
        <w:autoSpaceDN w:val="0"/>
        <w:adjustRightInd w:val="0"/>
        <w:spacing w:line="240" w:lineRule="auto"/>
        <w:rPr>
          <w:rFonts w:eastAsiaTheme="minorHAnsi" w:cs="Arial"/>
          <w:color w:val="auto"/>
          <w:szCs w:val="20"/>
          <w:lang w:eastAsia="en-US"/>
        </w:rPr>
      </w:pPr>
    </w:p>
    <w:p w:rsidR="00CA1920" w:rsidRPr="003C21BB" w:rsidRDefault="00CA1920" w:rsidP="00CA1920">
      <w:pPr>
        <w:tabs>
          <w:tab w:val="clear" w:pos="6237"/>
        </w:tabs>
        <w:ind w:right="-7"/>
        <w:rPr>
          <w:rFonts w:cs="Arial"/>
          <w:szCs w:val="20"/>
        </w:rPr>
      </w:pPr>
      <w:r w:rsidRPr="003C21BB">
        <w:rPr>
          <w:rFonts w:eastAsiaTheme="minorHAnsi" w:cs="Arial"/>
          <w:color w:val="auto"/>
          <w:szCs w:val="20"/>
          <w:lang w:eastAsia="en-US"/>
        </w:rPr>
        <w:t xml:space="preserve">Principles for </w:t>
      </w:r>
      <w:r>
        <w:rPr>
          <w:rFonts w:eastAsiaTheme="minorHAnsi" w:cs="Arial"/>
          <w:color w:val="auto"/>
          <w:szCs w:val="20"/>
          <w:lang w:eastAsia="en-US"/>
        </w:rPr>
        <w:t>company car and c</w:t>
      </w:r>
      <w:r w:rsidRPr="002F7DAC">
        <w:rPr>
          <w:rFonts w:eastAsiaTheme="minorHAnsi" w:cs="Arial"/>
          <w:color w:val="auto"/>
          <w:szCs w:val="20"/>
          <w:lang w:eastAsia="en-US"/>
        </w:rPr>
        <w:t>ar allowance</w:t>
      </w:r>
      <w:r>
        <w:rPr>
          <w:rFonts w:eastAsiaTheme="minorHAnsi" w:cs="Arial"/>
          <w:color w:val="auto"/>
          <w:szCs w:val="20"/>
          <w:lang w:eastAsia="en-US"/>
        </w:rPr>
        <w:t xml:space="preserve"> </w:t>
      </w:r>
      <w:proofErr w:type="gramStart"/>
      <w:r w:rsidRPr="003C21BB">
        <w:rPr>
          <w:rFonts w:eastAsiaTheme="minorHAnsi" w:cs="Arial"/>
          <w:color w:val="auto"/>
          <w:szCs w:val="20"/>
          <w:lang w:eastAsia="en-US"/>
        </w:rPr>
        <w:t>shall be allowed</w:t>
      </w:r>
      <w:proofErr w:type="gramEnd"/>
      <w:r w:rsidRPr="003C21BB">
        <w:rPr>
          <w:rFonts w:eastAsiaTheme="minorHAnsi" w:cs="Arial"/>
          <w:color w:val="auto"/>
          <w:szCs w:val="20"/>
          <w:lang w:eastAsia="en-US"/>
        </w:rPr>
        <w:t xml:space="preserve"> to vary in accordance with local conditions.</w:t>
      </w:r>
    </w:p>
    <w:p w:rsidR="00B23D86" w:rsidRDefault="00B23D86" w:rsidP="00593F48">
      <w:pPr>
        <w:tabs>
          <w:tab w:val="clear" w:pos="6237"/>
        </w:tabs>
        <w:ind w:right="-7"/>
        <w:rPr>
          <w:highlight w:val="green"/>
        </w:rPr>
      </w:pPr>
    </w:p>
    <w:p w:rsidR="002F7DAC" w:rsidRPr="00757EAC" w:rsidRDefault="00757EAC" w:rsidP="00593F48">
      <w:pPr>
        <w:tabs>
          <w:tab w:val="clear" w:pos="6237"/>
        </w:tabs>
        <w:ind w:right="-7"/>
        <w:rPr>
          <w:i/>
        </w:rPr>
      </w:pPr>
      <w:r w:rsidRPr="00757EAC">
        <w:rPr>
          <w:i/>
        </w:rPr>
        <w:t>Pension:</w:t>
      </w:r>
    </w:p>
    <w:p w:rsidR="00B23D86" w:rsidRPr="00763846" w:rsidRDefault="00B23D86" w:rsidP="00B23D86">
      <w:pPr>
        <w:tabs>
          <w:tab w:val="clear" w:pos="6237"/>
        </w:tabs>
        <w:autoSpaceDE w:val="0"/>
        <w:autoSpaceDN w:val="0"/>
        <w:adjustRightInd w:val="0"/>
        <w:spacing w:line="240" w:lineRule="auto"/>
        <w:rPr>
          <w:rFonts w:cs="Arial"/>
          <w:szCs w:val="20"/>
        </w:rPr>
      </w:pPr>
      <w:r w:rsidRPr="00763846">
        <w:rPr>
          <w:rFonts w:eastAsiaTheme="minorHAnsi" w:cs="Arial"/>
          <w:color w:val="auto"/>
          <w:szCs w:val="20"/>
          <w:lang w:eastAsia="en-US"/>
        </w:rPr>
        <w:t xml:space="preserve">Executives participate in the same pension plans as other employees within the unit in which they </w:t>
      </w:r>
      <w:proofErr w:type="gramStart"/>
      <w:r w:rsidRPr="00763846">
        <w:rPr>
          <w:rFonts w:eastAsiaTheme="minorHAnsi" w:cs="Arial"/>
          <w:color w:val="auto"/>
          <w:szCs w:val="20"/>
          <w:lang w:eastAsia="en-US"/>
        </w:rPr>
        <w:t>are employed</w:t>
      </w:r>
      <w:proofErr w:type="gramEnd"/>
      <w:r w:rsidRPr="00763846">
        <w:rPr>
          <w:rFonts w:eastAsiaTheme="minorHAnsi" w:cs="Arial"/>
          <w:color w:val="auto"/>
          <w:szCs w:val="20"/>
          <w:lang w:eastAsia="en-US"/>
        </w:rPr>
        <w:t>.</w:t>
      </w:r>
    </w:p>
    <w:p w:rsidR="009550F4" w:rsidRPr="00763846" w:rsidRDefault="009550F4" w:rsidP="00593F48">
      <w:pPr>
        <w:tabs>
          <w:tab w:val="clear" w:pos="6237"/>
        </w:tabs>
        <w:ind w:right="-7"/>
        <w:rPr>
          <w:rFonts w:cs="Arial"/>
          <w:szCs w:val="20"/>
        </w:rPr>
      </w:pPr>
    </w:p>
    <w:p w:rsidR="009550F4" w:rsidRPr="00763846" w:rsidRDefault="009550F4" w:rsidP="00452836">
      <w:pPr>
        <w:tabs>
          <w:tab w:val="clear" w:pos="6237"/>
        </w:tabs>
        <w:autoSpaceDE w:val="0"/>
        <w:autoSpaceDN w:val="0"/>
        <w:adjustRightInd w:val="0"/>
        <w:spacing w:line="240" w:lineRule="auto"/>
        <w:rPr>
          <w:rFonts w:cs="Arial"/>
          <w:szCs w:val="20"/>
        </w:rPr>
      </w:pPr>
      <w:r w:rsidRPr="00763846">
        <w:rPr>
          <w:rFonts w:cs="Arial"/>
          <w:szCs w:val="20"/>
        </w:rPr>
        <w:t xml:space="preserve">Employees in the Norwegian entity participate in a defined contribution pension plan. </w:t>
      </w:r>
      <w:r w:rsidR="00452836" w:rsidRPr="00763846">
        <w:rPr>
          <w:rFonts w:eastAsiaTheme="minorHAnsi" w:cs="Arial"/>
          <w:color w:val="auto"/>
          <w:szCs w:val="20"/>
          <w:lang w:eastAsia="en-US"/>
        </w:rPr>
        <w:t xml:space="preserve">The annual accrual is 4% of the annual base </w:t>
      </w:r>
      <w:r w:rsidR="004708BA">
        <w:rPr>
          <w:rFonts w:eastAsiaTheme="minorHAnsi" w:cs="Arial"/>
          <w:color w:val="auto"/>
          <w:szCs w:val="20"/>
          <w:lang w:eastAsia="en-US"/>
        </w:rPr>
        <w:t>salary from 1-6 G, 8% from 6-</w:t>
      </w:r>
      <w:r w:rsidR="00452836" w:rsidRPr="00763846">
        <w:rPr>
          <w:rFonts w:eastAsiaTheme="minorHAnsi" w:cs="Arial"/>
          <w:color w:val="auto"/>
          <w:szCs w:val="20"/>
          <w:lang w:eastAsia="en-US"/>
        </w:rPr>
        <w:t>12 G and 18</w:t>
      </w:r>
      <w:r w:rsidR="004708BA">
        <w:rPr>
          <w:rFonts w:eastAsiaTheme="minorHAnsi" w:cs="Arial"/>
          <w:color w:val="auto"/>
          <w:szCs w:val="20"/>
          <w:lang w:eastAsia="en-US"/>
        </w:rPr>
        <w:t>% from 12-</w:t>
      </w:r>
      <w:r w:rsidR="00452836" w:rsidRPr="00763846">
        <w:rPr>
          <w:rFonts w:eastAsiaTheme="minorHAnsi" w:cs="Arial"/>
          <w:color w:val="auto"/>
          <w:szCs w:val="20"/>
          <w:lang w:eastAsia="en-US"/>
        </w:rPr>
        <w:t>24 G (G is the base amount of Norwegian Soci</w:t>
      </w:r>
      <w:r w:rsidR="004708BA">
        <w:rPr>
          <w:rFonts w:eastAsiaTheme="minorHAnsi" w:cs="Arial"/>
          <w:color w:val="auto"/>
          <w:szCs w:val="20"/>
          <w:lang w:eastAsia="en-US"/>
        </w:rPr>
        <w:t>al Security). The Top Hat (12-</w:t>
      </w:r>
      <w:r w:rsidR="00452836" w:rsidRPr="00763846">
        <w:rPr>
          <w:rFonts w:eastAsiaTheme="minorHAnsi" w:cs="Arial"/>
          <w:color w:val="auto"/>
          <w:szCs w:val="20"/>
          <w:lang w:eastAsia="en-US"/>
        </w:rPr>
        <w:t>24 G) is non-secured</w:t>
      </w:r>
      <w:r w:rsidR="002D5144" w:rsidRPr="00763846">
        <w:rPr>
          <w:rFonts w:eastAsiaTheme="minorHAnsi" w:cs="Arial"/>
          <w:color w:val="auto"/>
          <w:szCs w:val="20"/>
          <w:lang w:eastAsia="en-US"/>
        </w:rPr>
        <w:t xml:space="preserve"> and unfunded</w:t>
      </w:r>
      <w:r w:rsidR="00452836" w:rsidRPr="00763846">
        <w:rPr>
          <w:rFonts w:eastAsiaTheme="minorHAnsi" w:cs="Arial"/>
          <w:color w:val="auto"/>
          <w:szCs w:val="20"/>
          <w:lang w:eastAsia="en-US"/>
        </w:rPr>
        <w:t>.</w:t>
      </w:r>
    </w:p>
    <w:p w:rsidR="002D5144" w:rsidRPr="00763846" w:rsidRDefault="002D5144" w:rsidP="00593F48">
      <w:pPr>
        <w:tabs>
          <w:tab w:val="clear" w:pos="6237"/>
        </w:tabs>
        <w:ind w:right="-7"/>
        <w:rPr>
          <w:rFonts w:cs="Arial"/>
          <w:szCs w:val="20"/>
        </w:rPr>
      </w:pPr>
      <w:r w:rsidRPr="00763846">
        <w:rPr>
          <w:rFonts w:cs="Arial"/>
          <w:szCs w:val="20"/>
        </w:rPr>
        <w:t>The CEO has a retirement</w:t>
      </w:r>
      <w:r w:rsidR="00763846" w:rsidRPr="00763846">
        <w:rPr>
          <w:rFonts w:cs="Arial"/>
          <w:szCs w:val="20"/>
        </w:rPr>
        <w:t xml:space="preserve"> agreement.</w:t>
      </w:r>
    </w:p>
    <w:p w:rsidR="002D5144" w:rsidRPr="0051142A" w:rsidRDefault="002D5144" w:rsidP="00593F48">
      <w:pPr>
        <w:tabs>
          <w:tab w:val="clear" w:pos="6237"/>
        </w:tabs>
        <w:ind w:right="-7"/>
        <w:rPr>
          <w:highlight w:val="green"/>
        </w:rPr>
      </w:pPr>
    </w:p>
    <w:p w:rsidR="00165E4A" w:rsidRDefault="00DA7AF7" w:rsidP="00593F48">
      <w:pPr>
        <w:tabs>
          <w:tab w:val="clear" w:pos="6237"/>
        </w:tabs>
        <w:ind w:right="-7"/>
        <w:rPr>
          <w:highlight w:val="green"/>
        </w:rPr>
      </w:pPr>
      <w:r>
        <w:rPr>
          <w:b/>
        </w:rPr>
        <w:t>SEVERANCE</w:t>
      </w:r>
      <w:r w:rsidR="000A0C02" w:rsidRPr="00763846">
        <w:rPr>
          <w:b/>
        </w:rPr>
        <w:t xml:space="preserve"> PAY</w:t>
      </w:r>
    </w:p>
    <w:tbl>
      <w:tblPr>
        <w:tblStyle w:val="MediumGrid3-Accent3"/>
        <w:tblW w:w="0" w:type="auto"/>
        <w:tblLook w:val="04A0" w:firstRow="1" w:lastRow="0" w:firstColumn="1" w:lastColumn="0" w:noHBand="0" w:noVBand="1"/>
      </w:tblPr>
      <w:tblGrid>
        <w:gridCol w:w="2320"/>
        <w:gridCol w:w="2320"/>
        <w:gridCol w:w="2320"/>
        <w:gridCol w:w="2321"/>
      </w:tblGrid>
      <w:tr w:rsidR="00165E4A" w:rsidTr="00165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rsidR="00165E4A" w:rsidRPr="003D4A74" w:rsidRDefault="00165E4A" w:rsidP="00593F48">
            <w:pPr>
              <w:tabs>
                <w:tab w:val="clear" w:pos="6237"/>
              </w:tabs>
              <w:ind w:right="-7"/>
              <w:rPr>
                <w:b w:val="0"/>
              </w:rPr>
            </w:pPr>
            <w:r w:rsidRPr="003D4A74">
              <w:rPr>
                <w:b w:val="0"/>
              </w:rPr>
              <w:t>Name</w:t>
            </w:r>
          </w:p>
        </w:tc>
        <w:tc>
          <w:tcPr>
            <w:tcW w:w="2320" w:type="dxa"/>
          </w:tcPr>
          <w:p w:rsidR="00165E4A" w:rsidRPr="003D4A74" w:rsidRDefault="00165E4A" w:rsidP="00593F48">
            <w:pPr>
              <w:tabs>
                <w:tab w:val="clear" w:pos="6237"/>
              </w:tabs>
              <w:ind w:right="-7"/>
              <w:cnfStyle w:val="100000000000" w:firstRow="1" w:lastRow="0" w:firstColumn="0" w:lastColumn="0" w:oddVBand="0" w:evenVBand="0" w:oddHBand="0" w:evenHBand="0" w:firstRowFirstColumn="0" w:firstRowLastColumn="0" w:lastRowFirstColumn="0" w:lastRowLastColumn="0"/>
              <w:rPr>
                <w:b w:val="0"/>
              </w:rPr>
            </w:pPr>
            <w:r w:rsidRPr="003D4A74">
              <w:rPr>
                <w:b w:val="0"/>
              </w:rPr>
              <w:t>Agreed period of notice</w:t>
            </w:r>
          </w:p>
        </w:tc>
        <w:tc>
          <w:tcPr>
            <w:tcW w:w="2320" w:type="dxa"/>
          </w:tcPr>
          <w:p w:rsidR="00165E4A" w:rsidRPr="003D4A74" w:rsidRDefault="00B3413C" w:rsidP="00593F48">
            <w:pPr>
              <w:tabs>
                <w:tab w:val="clear" w:pos="6237"/>
              </w:tabs>
              <w:ind w:right="-7"/>
              <w:cnfStyle w:val="100000000000" w:firstRow="1" w:lastRow="0" w:firstColumn="0" w:lastColumn="0" w:oddVBand="0" w:evenVBand="0" w:oddHBand="0" w:evenHBand="0" w:firstRowFirstColumn="0" w:firstRowLastColumn="0" w:lastRowFirstColumn="0" w:lastRowLastColumn="0"/>
              <w:rPr>
                <w:b w:val="0"/>
              </w:rPr>
            </w:pPr>
            <w:r w:rsidRPr="003D4A74">
              <w:rPr>
                <w:b w:val="0"/>
              </w:rPr>
              <w:t>Severance pay, months base salary</w:t>
            </w:r>
          </w:p>
        </w:tc>
        <w:tc>
          <w:tcPr>
            <w:tcW w:w="2321" w:type="dxa"/>
          </w:tcPr>
          <w:p w:rsidR="00165E4A" w:rsidRPr="003D4A74" w:rsidRDefault="00B3413C" w:rsidP="00593F48">
            <w:pPr>
              <w:tabs>
                <w:tab w:val="clear" w:pos="6237"/>
              </w:tabs>
              <w:ind w:right="-7"/>
              <w:cnfStyle w:val="100000000000" w:firstRow="1" w:lastRow="0" w:firstColumn="0" w:lastColumn="0" w:oddVBand="0" w:evenVBand="0" w:oddHBand="0" w:evenHBand="0" w:firstRowFirstColumn="0" w:firstRowLastColumn="0" w:lastRowFirstColumn="0" w:lastRowLastColumn="0"/>
              <w:rPr>
                <w:b w:val="0"/>
              </w:rPr>
            </w:pPr>
            <w:r w:rsidRPr="003D4A74">
              <w:rPr>
                <w:b w:val="0"/>
              </w:rPr>
              <w:t>Re</w:t>
            </w:r>
            <w:r w:rsidR="00036BC6" w:rsidRPr="003D4A74">
              <w:rPr>
                <w:b w:val="0"/>
              </w:rPr>
              <w:t>tirement agreement</w:t>
            </w:r>
          </w:p>
        </w:tc>
      </w:tr>
      <w:tr w:rsidR="00165E4A" w:rsidTr="00165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rsidR="00165E4A" w:rsidRPr="003D4A74" w:rsidRDefault="00B3413C" w:rsidP="00593F48">
            <w:pPr>
              <w:tabs>
                <w:tab w:val="clear" w:pos="6237"/>
              </w:tabs>
              <w:ind w:right="-7"/>
              <w:rPr>
                <w:b w:val="0"/>
              </w:rPr>
            </w:pPr>
            <w:r w:rsidRPr="003D4A74">
              <w:rPr>
                <w:b w:val="0"/>
              </w:rPr>
              <w:t>Hans Peter Havdal</w:t>
            </w:r>
          </w:p>
        </w:tc>
        <w:tc>
          <w:tcPr>
            <w:tcW w:w="2320" w:type="dxa"/>
          </w:tcPr>
          <w:p w:rsidR="00165E4A" w:rsidRPr="003D4A74" w:rsidRDefault="00B3413C" w:rsidP="0096149F">
            <w:pPr>
              <w:tabs>
                <w:tab w:val="clear" w:pos="6237"/>
              </w:tabs>
              <w:spacing w:line="276" w:lineRule="auto"/>
              <w:ind w:right="-7"/>
              <w:cnfStyle w:val="000000100000" w:firstRow="0" w:lastRow="0" w:firstColumn="0" w:lastColumn="0" w:oddVBand="0" w:evenVBand="0" w:oddHBand="1" w:evenHBand="0" w:firstRowFirstColumn="0" w:firstRowLastColumn="0" w:lastRowFirstColumn="0" w:lastRowLastColumn="0"/>
              <w:rPr>
                <w:sz w:val="16"/>
                <w:szCs w:val="16"/>
              </w:rPr>
            </w:pPr>
            <w:r w:rsidRPr="003D4A74">
              <w:rPr>
                <w:sz w:val="16"/>
                <w:szCs w:val="16"/>
              </w:rPr>
              <w:t>6 months</w:t>
            </w:r>
          </w:p>
        </w:tc>
        <w:tc>
          <w:tcPr>
            <w:tcW w:w="2320" w:type="dxa"/>
          </w:tcPr>
          <w:p w:rsidR="00165E4A" w:rsidRPr="003D4A74" w:rsidRDefault="00B3413C" w:rsidP="0096149F">
            <w:pPr>
              <w:tabs>
                <w:tab w:val="clear" w:pos="6237"/>
              </w:tabs>
              <w:spacing w:line="276" w:lineRule="auto"/>
              <w:ind w:right="-7"/>
              <w:cnfStyle w:val="000000100000" w:firstRow="0" w:lastRow="0" w:firstColumn="0" w:lastColumn="0" w:oddVBand="0" w:evenVBand="0" w:oddHBand="1" w:evenHBand="0" w:firstRowFirstColumn="0" w:firstRowLastColumn="0" w:lastRowFirstColumn="0" w:lastRowLastColumn="0"/>
              <w:rPr>
                <w:sz w:val="16"/>
                <w:szCs w:val="16"/>
              </w:rPr>
            </w:pPr>
            <w:r w:rsidRPr="003D4A74">
              <w:rPr>
                <w:sz w:val="16"/>
                <w:szCs w:val="16"/>
              </w:rPr>
              <w:t xml:space="preserve">6 months. The employee is not entitled to redundancy payment in the event he </w:t>
            </w:r>
            <w:r w:rsidRPr="003D4A74">
              <w:rPr>
                <w:sz w:val="16"/>
                <w:szCs w:val="16"/>
              </w:rPr>
              <w:lastRenderedPageBreak/>
              <w:t>himself terminates the employment.</w:t>
            </w:r>
          </w:p>
        </w:tc>
        <w:tc>
          <w:tcPr>
            <w:tcW w:w="2321" w:type="dxa"/>
          </w:tcPr>
          <w:p w:rsidR="00165E4A" w:rsidRPr="003D4A74" w:rsidRDefault="00036BC6" w:rsidP="0096149F">
            <w:pPr>
              <w:tabs>
                <w:tab w:val="clear" w:pos="6237"/>
              </w:tabs>
              <w:spacing w:line="276" w:lineRule="auto"/>
              <w:ind w:right="-7"/>
              <w:cnfStyle w:val="000000100000" w:firstRow="0" w:lastRow="0" w:firstColumn="0" w:lastColumn="0" w:oddVBand="0" w:evenVBand="0" w:oddHBand="1" w:evenHBand="0" w:firstRowFirstColumn="0" w:firstRowLastColumn="0" w:lastRowFirstColumn="0" w:lastRowLastColumn="0"/>
              <w:rPr>
                <w:sz w:val="16"/>
                <w:szCs w:val="16"/>
              </w:rPr>
            </w:pPr>
            <w:r w:rsidRPr="003D4A74">
              <w:rPr>
                <w:sz w:val="16"/>
                <w:szCs w:val="16"/>
              </w:rPr>
              <w:lastRenderedPageBreak/>
              <w:t xml:space="preserve">Optional retirement </w:t>
            </w:r>
            <w:r w:rsidR="003D4A74">
              <w:rPr>
                <w:sz w:val="16"/>
                <w:szCs w:val="16"/>
              </w:rPr>
              <w:t xml:space="preserve">at </w:t>
            </w:r>
            <w:r w:rsidR="004708BA">
              <w:rPr>
                <w:sz w:val="16"/>
                <w:szCs w:val="16"/>
              </w:rPr>
              <w:t>age 62. 60</w:t>
            </w:r>
            <w:r w:rsidRPr="003D4A74">
              <w:rPr>
                <w:sz w:val="16"/>
                <w:szCs w:val="16"/>
              </w:rPr>
              <w:t>% of base salary</w:t>
            </w:r>
            <w:r w:rsidR="003D4A74">
              <w:rPr>
                <w:sz w:val="16"/>
                <w:szCs w:val="16"/>
              </w:rPr>
              <w:t xml:space="preserve"> (limit). Valid</w:t>
            </w:r>
            <w:r w:rsidRPr="003D4A74">
              <w:rPr>
                <w:sz w:val="16"/>
                <w:szCs w:val="16"/>
              </w:rPr>
              <w:t xml:space="preserve"> between ages 62-67. Pursuant to the employee </w:t>
            </w:r>
            <w:r w:rsidRPr="003D4A74">
              <w:rPr>
                <w:sz w:val="16"/>
                <w:szCs w:val="16"/>
              </w:rPr>
              <w:lastRenderedPageBreak/>
              <w:t>holding a position in KA at attaining the age of 62.</w:t>
            </w:r>
          </w:p>
        </w:tc>
      </w:tr>
    </w:tbl>
    <w:p w:rsidR="00165E4A" w:rsidRDefault="00165E4A" w:rsidP="00593F48">
      <w:pPr>
        <w:tabs>
          <w:tab w:val="clear" w:pos="6237"/>
        </w:tabs>
        <w:ind w:right="-7"/>
        <w:rPr>
          <w:highlight w:val="green"/>
        </w:rPr>
      </w:pPr>
    </w:p>
    <w:p w:rsidR="00B23D86" w:rsidRPr="00763846" w:rsidRDefault="00763846" w:rsidP="006240CE">
      <w:pPr>
        <w:tabs>
          <w:tab w:val="clear" w:pos="6237"/>
        </w:tabs>
        <w:ind w:right="-7"/>
        <w:rPr>
          <w:rFonts w:cs="Arial"/>
          <w:sz w:val="16"/>
          <w:szCs w:val="16"/>
        </w:rPr>
      </w:pPr>
      <w:r w:rsidRPr="00763846">
        <w:t xml:space="preserve">At the year-end no other </w:t>
      </w:r>
      <w:r w:rsidR="007A23D6">
        <w:t>Executives</w:t>
      </w:r>
      <w:r w:rsidRPr="00763846">
        <w:t xml:space="preserve"> had any agreement for redundancy payment. The notice period for the rest of the management is 6 months.</w:t>
      </w:r>
    </w:p>
    <w:sectPr w:rsidR="00B23D86" w:rsidRPr="00763846" w:rsidSect="00B8188E">
      <w:headerReference w:type="default" r:id="rId7"/>
      <w:footerReference w:type="default" r:id="rId8"/>
      <w:headerReference w:type="first" r:id="rId9"/>
      <w:footerReference w:type="first" r:id="rId10"/>
      <w:pgSz w:w="11900" w:h="16840"/>
      <w:pgMar w:top="3686" w:right="1134" w:bottom="1701" w:left="1701" w:header="2552" w:footer="9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2C" w:rsidRDefault="00EC3F2C" w:rsidP="005413CA">
      <w:pPr>
        <w:spacing w:line="240" w:lineRule="auto"/>
      </w:pPr>
      <w:r>
        <w:separator/>
      </w:r>
    </w:p>
  </w:endnote>
  <w:endnote w:type="continuationSeparator" w:id="0">
    <w:p w:rsidR="00EC3F2C" w:rsidRDefault="00EC3F2C" w:rsidP="00541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
    <w:altName w:val="Ski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2C" w:rsidRPr="006A03AC" w:rsidRDefault="00EC3F2C" w:rsidP="006A03AC">
    <w:pPr>
      <w:pStyle w:val="Footer"/>
      <w:tabs>
        <w:tab w:val="left" w:pos="8220"/>
      </w:tabs>
      <w:spacing w:line="260" w:lineRule="auto"/>
      <w:jc w:val="right"/>
      <w:rPr>
        <w:color w:val="023F88" w:themeColor="text1"/>
        <w:sz w:val="15"/>
      </w:rPr>
    </w:pPr>
    <w:r w:rsidRPr="006A03AC">
      <w:rPr>
        <w:noProof/>
        <w:color w:val="808285"/>
        <w:sz w:val="15"/>
        <w:lang w:eastAsia="zh-CN"/>
      </w:rPr>
      <w:drawing>
        <wp:anchor distT="0" distB="0" distL="114300" distR="114300" simplePos="0" relativeHeight="251659264" behindDoc="1" locked="0" layoutInCell="1" allowOverlap="1">
          <wp:simplePos x="0" y="0"/>
          <wp:positionH relativeFrom="page">
            <wp:posOffset>6948805</wp:posOffset>
          </wp:positionH>
          <wp:positionV relativeFrom="page">
            <wp:posOffset>9901555</wp:posOffset>
          </wp:positionV>
          <wp:extent cx="121920" cy="254000"/>
          <wp:effectExtent l="25400" t="0" r="5080" b="0"/>
          <wp:wrapNone/>
          <wp:docPr id="2" name="Picture 2" descr="tre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kant.jpg"/>
                  <pic:cNvPicPr/>
                </pic:nvPicPr>
                <pic:blipFill>
                  <a:blip r:embed="rId1"/>
                  <a:stretch>
                    <a:fillRect/>
                  </a:stretch>
                </pic:blipFill>
                <pic:spPr>
                  <a:xfrm>
                    <a:off x="0" y="0"/>
                    <a:ext cx="121920" cy="254000"/>
                  </a:xfrm>
                  <a:prstGeom prst="rect">
                    <a:avLst/>
                  </a:prstGeom>
                </pic:spPr>
              </pic:pic>
            </a:graphicData>
          </a:graphic>
        </wp:anchor>
      </w:drawing>
    </w:r>
    <w:r w:rsidR="004708BA">
      <w:rPr>
        <w:noProof/>
        <w:color w:val="808285"/>
        <w:sz w:val="15"/>
        <w:lang w:eastAsia="zh-CN"/>
      </w:rPr>
      <w:t>2016</w:t>
    </w:r>
    <w:r>
      <w:rPr>
        <w:noProof/>
        <w:color w:val="808285"/>
        <w:sz w:val="15"/>
        <w:lang w:eastAsia="zh-CN"/>
      </w:rPr>
      <w:t>-0</w:t>
    </w:r>
    <w:r w:rsidR="004708BA">
      <w:rPr>
        <w:noProof/>
        <w:color w:val="808285"/>
        <w:sz w:val="15"/>
        <w:lang w:eastAsia="zh-CN"/>
      </w:rPr>
      <w:t>2</w:t>
    </w:r>
    <w:r w:rsidR="006240CE">
      <w:rPr>
        <w:noProof/>
        <w:color w:val="808285"/>
        <w:sz w:val="15"/>
        <w:lang w:eastAsia="zh-CN"/>
      </w:rPr>
      <w:t>-</w:t>
    </w:r>
    <w:r w:rsidR="004708BA">
      <w:rPr>
        <w:noProof/>
        <w:color w:val="808285"/>
        <w:sz w:val="15"/>
        <w:lang w:eastAsia="zh-CN"/>
      </w:rPr>
      <w:t>11</w:t>
    </w:r>
    <w:r w:rsidRPr="006A03AC">
      <w:rPr>
        <w:color w:val="808285"/>
        <w:sz w:val="15"/>
      </w:rPr>
      <w:t xml:space="preserve"> |</w:t>
    </w:r>
    <w:r>
      <w:rPr>
        <w:color w:val="023F88" w:themeColor="text1"/>
        <w:sz w:val="15"/>
      </w:rPr>
      <w:t xml:space="preserve"> Statement on remuneration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2C" w:rsidRPr="001D3F2E" w:rsidRDefault="00EC3F2C" w:rsidP="00593F48">
    <w:pPr>
      <w:spacing w:line="200" w:lineRule="exact"/>
      <w:jc w:val="right"/>
      <w:rPr>
        <w:color w:val="023F88" w:themeColor="text1"/>
        <w:sz w:val="15"/>
        <w:lang w:val="nn-NO"/>
      </w:rPr>
    </w:pPr>
    <w:r w:rsidRPr="001D3F2E">
      <w:rPr>
        <w:color w:val="023F88" w:themeColor="text1"/>
        <w:sz w:val="15"/>
        <w:lang w:val="nn-NO"/>
      </w:rPr>
      <w:t xml:space="preserve">Kongsberg Automotive </w:t>
    </w:r>
    <w:proofErr w:type="spellStart"/>
    <w:r w:rsidRPr="001D3F2E">
      <w:rPr>
        <w:color w:val="023F88" w:themeColor="text1"/>
        <w:sz w:val="15"/>
        <w:lang w:val="nn-NO"/>
      </w:rPr>
      <w:t>Holding</w:t>
    </w:r>
    <w:proofErr w:type="spellEnd"/>
    <w:r w:rsidRPr="001D3F2E">
      <w:rPr>
        <w:color w:val="023F88" w:themeColor="text1"/>
        <w:sz w:val="15"/>
        <w:lang w:val="nn-NO"/>
      </w:rPr>
      <w:t xml:space="preserve"> ASA</w:t>
    </w:r>
  </w:p>
  <w:p w:rsidR="00EC3F2C" w:rsidRPr="00D662B8" w:rsidRDefault="00EC3F2C" w:rsidP="00593F48">
    <w:pPr>
      <w:spacing w:line="200" w:lineRule="exact"/>
      <w:jc w:val="right"/>
      <w:rPr>
        <w:color w:val="808285"/>
        <w:sz w:val="15"/>
      </w:rPr>
    </w:pPr>
    <w:r w:rsidRPr="001D3F2E">
      <w:rPr>
        <w:color w:val="808285"/>
        <w:sz w:val="15"/>
        <w:lang w:val="nn-NO"/>
      </w:rPr>
      <w:t xml:space="preserve">Dyrmyrgata 48. P.O. Box 62. NO-3601 Kongsberg, </w:t>
    </w:r>
    <w:proofErr w:type="spellStart"/>
    <w:r w:rsidRPr="001D3F2E">
      <w:rPr>
        <w:color w:val="808285"/>
        <w:sz w:val="15"/>
        <w:lang w:val="nn-NO"/>
      </w:rPr>
      <w:t>Norway</w:t>
    </w:r>
    <w:proofErr w:type="spellEnd"/>
    <w:r w:rsidRPr="001D3F2E">
      <w:rPr>
        <w:color w:val="808285"/>
        <w:sz w:val="15"/>
        <w:lang w:val="nn-NO"/>
      </w:rPr>
      <w:t xml:space="preserve">. </w:t>
    </w:r>
    <w:r w:rsidRPr="00D662B8">
      <w:rPr>
        <w:color w:val="808285"/>
        <w:sz w:val="15"/>
      </w:rPr>
      <w:t>Tel. +47 32 77 05 00. Fax +47 32 77 05 05</w:t>
    </w:r>
  </w:p>
  <w:p w:rsidR="00EC3F2C" w:rsidRDefault="00EC3F2C" w:rsidP="00593F48">
    <w:pPr>
      <w:spacing w:line="200" w:lineRule="exact"/>
      <w:jc w:val="right"/>
    </w:pPr>
    <w:r w:rsidRPr="00D662B8">
      <w:rPr>
        <w:color w:val="808285"/>
        <w:sz w:val="15"/>
      </w:rPr>
      <w:t>www.kongsbergautomotive.com</w:t>
    </w:r>
    <w:r>
      <w:rPr>
        <w:noProof/>
        <w:lang w:eastAsia="zh-CN"/>
      </w:rPr>
      <w:drawing>
        <wp:anchor distT="0" distB="0" distL="114300" distR="114300" simplePos="0" relativeHeight="251661312" behindDoc="1" locked="0" layoutInCell="1" allowOverlap="1">
          <wp:simplePos x="0" y="0"/>
          <wp:positionH relativeFrom="page">
            <wp:posOffset>6948805</wp:posOffset>
          </wp:positionH>
          <wp:positionV relativeFrom="page">
            <wp:posOffset>9901555</wp:posOffset>
          </wp:positionV>
          <wp:extent cx="121920" cy="247650"/>
          <wp:effectExtent l="25400" t="0" r="5080" b="0"/>
          <wp:wrapNone/>
          <wp:docPr id="4" name="Picture 4" descr="tre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kant.jpg"/>
                  <pic:cNvPicPr/>
                </pic:nvPicPr>
                <pic:blipFill>
                  <a:blip r:embed="rId1"/>
                  <a:stretch>
                    <a:fillRect/>
                  </a:stretch>
                </pic:blipFill>
                <pic:spPr>
                  <a:xfrm>
                    <a:off x="0" y="0"/>
                    <a:ext cx="121920" cy="247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2C" w:rsidRDefault="00EC3F2C" w:rsidP="005413CA">
      <w:pPr>
        <w:spacing w:line="240" w:lineRule="auto"/>
      </w:pPr>
      <w:r>
        <w:separator/>
      </w:r>
    </w:p>
  </w:footnote>
  <w:footnote w:type="continuationSeparator" w:id="0">
    <w:p w:rsidR="00EC3F2C" w:rsidRDefault="00EC3F2C" w:rsidP="005413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2C" w:rsidRPr="001E683C" w:rsidRDefault="00EC3F2C" w:rsidP="00593F48">
    <w:pPr>
      <w:pStyle w:val="Header"/>
      <w:rPr>
        <w:color w:val="023F88" w:themeColor="text1"/>
        <w:sz w:val="24"/>
        <w:szCs w:val="24"/>
      </w:rPr>
    </w:pPr>
    <w:r w:rsidRPr="001E683C">
      <w:rPr>
        <w:noProof/>
        <w:color w:val="023F88" w:themeColor="text1"/>
        <w:sz w:val="40"/>
        <w:szCs w:val="40"/>
        <w:lang w:eastAsia="zh-CN"/>
      </w:rPr>
      <w:drawing>
        <wp:anchor distT="0" distB="0" distL="114300" distR="114300" simplePos="0" relativeHeight="251662336" behindDoc="1" locked="0" layoutInCell="1" allowOverlap="1">
          <wp:simplePos x="0" y="0"/>
          <wp:positionH relativeFrom="page">
            <wp:posOffset>0</wp:posOffset>
          </wp:positionH>
          <wp:positionV relativeFrom="page">
            <wp:posOffset>1980565</wp:posOffset>
          </wp:positionV>
          <wp:extent cx="7569200" cy="111760"/>
          <wp:effectExtent l="25400" t="0" r="0" b="0"/>
          <wp:wrapNone/>
          <wp:docPr id="22" name="Picture 22" descr="str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ke.jpg"/>
                  <pic:cNvPicPr/>
                </pic:nvPicPr>
                <pic:blipFill>
                  <a:blip r:embed="rId1"/>
                  <a:stretch>
                    <a:fillRect/>
                  </a:stretch>
                </pic:blipFill>
                <pic:spPr>
                  <a:xfrm>
                    <a:off x="0" y="0"/>
                    <a:ext cx="7569200" cy="111760"/>
                  </a:xfrm>
                  <a:prstGeom prst="rect">
                    <a:avLst/>
                  </a:prstGeom>
                </pic:spPr>
              </pic:pic>
            </a:graphicData>
          </a:graphic>
        </wp:anchor>
      </w:drawing>
    </w:r>
    <w:r w:rsidRPr="001E683C">
      <w:rPr>
        <w:noProof/>
        <w:color w:val="023F88" w:themeColor="text1"/>
        <w:sz w:val="40"/>
        <w:szCs w:val="40"/>
        <w:lang w:eastAsia="zh-CN"/>
      </w:rPr>
      <w:drawing>
        <wp:anchor distT="0" distB="0" distL="114300" distR="114300" simplePos="0" relativeHeight="251658240" behindDoc="1" locked="1" layoutInCell="1" allowOverlap="1">
          <wp:simplePos x="0" y="0"/>
          <wp:positionH relativeFrom="page">
            <wp:align>right</wp:align>
          </wp:positionH>
          <wp:positionV relativeFrom="page">
            <wp:align>top</wp:align>
          </wp:positionV>
          <wp:extent cx="1621790" cy="1473200"/>
          <wp:effectExtent l="25400" t="0" r="3810" b="0"/>
          <wp:wrapNone/>
          <wp:docPr id="1" name="Placeholder" descr="KA LOGO_25x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 LOGO_25x21.jpg"/>
                  <pic:cNvPicPr/>
                </pic:nvPicPr>
                <pic:blipFill>
                  <a:blip r:embed="rId2"/>
                  <a:stretch>
                    <a:fillRect/>
                  </a:stretch>
                </pic:blipFill>
                <pic:spPr>
                  <a:xfrm>
                    <a:off x="0" y="0"/>
                    <a:ext cx="1621790" cy="1473200"/>
                  </a:xfrm>
                  <a:prstGeom prst="rect">
                    <a:avLst/>
                  </a:prstGeom>
                </pic:spPr>
              </pic:pic>
            </a:graphicData>
          </a:graphic>
        </wp:anchor>
      </w:drawing>
    </w:r>
    <w:r w:rsidRPr="001E683C">
      <w:rPr>
        <w:rFonts w:cs="Arial"/>
        <w:color w:val="023F88" w:themeColor="text1"/>
        <w:sz w:val="40"/>
        <w:szCs w:val="40"/>
      </w:rPr>
      <w:t xml:space="preserve">Statement on remuneration </w:t>
    </w:r>
    <w:r w:rsidRPr="001E683C">
      <w:rPr>
        <w:rFonts w:cs="Arial"/>
        <w:color w:val="023F88" w:themeColor="text1"/>
        <w:sz w:val="16"/>
        <w:szCs w:val="16"/>
      </w:rPr>
      <w:t>(for Kongsberg Automotive's Executive Committee)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2C" w:rsidRPr="00DD7809" w:rsidRDefault="00EC3F2C" w:rsidP="00593F48">
    <w:pPr>
      <w:pStyle w:val="Header"/>
      <w:tabs>
        <w:tab w:val="clear" w:pos="4320"/>
        <w:tab w:val="clear" w:pos="8640"/>
      </w:tabs>
      <w:rPr>
        <w:color w:val="808285"/>
      </w:rPr>
    </w:pPr>
    <w:r w:rsidRPr="00DD7809">
      <w:rPr>
        <w:noProof/>
        <w:color w:val="808285"/>
        <w:lang w:eastAsia="zh-CN"/>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1621790" cy="1473200"/>
          <wp:effectExtent l="25400" t="0" r="3810" b="0"/>
          <wp:wrapNone/>
          <wp:docPr id="3" name="Picture 3" descr="KA LOGO_25x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 LOGO_25x21.jpg"/>
                  <pic:cNvPicPr/>
                </pic:nvPicPr>
                <pic:blipFill>
                  <a:blip r:embed="rId1"/>
                  <a:stretch>
                    <a:fillRect/>
                  </a:stretch>
                </pic:blipFill>
                <pic:spPr>
                  <a:xfrm>
                    <a:off x="0" y="0"/>
                    <a:ext cx="1621790" cy="1473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C0E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44B3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0FE72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9A7D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39A1B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CA5E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8EB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102B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8CD8D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1CB2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E48D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E33B2"/>
    <w:multiLevelType w:val="hybridMultilevel"/>
    <w:tmpl w:val="F9AA9D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F22FA"/>
    <w:multiLevelType w:val="hybridMultilevel"/>
    <w:tmpl w:val="141A8B56"/>
    <w:lvl w:ilvl="0" w:tplc="FEFA6418">
      <w:start w:val="1"/>
      <w:numFmt w:val="bullet"/>
      <w:lvlText w:val="▸"/>
      <w:lvlJc w:val="left"/>
      <w:pPr>
        <w:tabs>
          <w:tab w:val="num" w:pos="720"/>
        </w:tabs>
        <w:ind w:left="720" w:hanging="360"/>
      </w:pPr>
      <w:rPr>
        <w:rFonts w:ascii="MS Mincho" w:hAnsi="MS Mincho" w:hint="default"/>
      </w:rPr>
    </w:lvl>
    <w:lvl w:ilvl="1" w:tplc="7C4E3BE0" w:tentative="1">
      <w:start w:val="1"/>
      <w:numFmt w:val="bullet"/>
      <w:lvlText w:val="▸"/>
      <w:lvlJc w:val="left"/>
      <w:pPr>
        <w:tabs>
          <w:tab w:val="num" w:pos="1440"/>
        </w:tabs>
        <w:ind w:left="1440" w:hanging="360"/>
      </w:pPr>
      <w:rPr>
        <w:rFonts w:ascii="MS Mincho" w:hAnsi="MS Mincho" w:hint="default"/>
      </w:rPr>
    </w:lvl>
    <w:lvl w:ilvl="2" w:tplc="55F64E80" w:tentative="1">
      <w:start w:val="1"/>
      <w:numFmt w:val="bullet"/>
      <w:lvlText w:val="▸"/>
      <w:lvlJc w:val="left"/>
      <w:pPr>
        <w:tabs>
          <w:tab w:val="num" w:pos="2160"/>
        </w:tabs>
        <w:ind w:left="2160" w:hanging="360"/>
      </w:pPr>
      <w:rPr>
        <w:rFonts w:ascii="MS Mincho" w:hAnsi="MS Mincho" w:hint="default"/>
      </w:rPr>
    </w:lvl>
    <w:lvl w:ilvl="3" w:tplc="E6D06C30" w:tentative="1">
      <w:start w:val="1"/>
      <w:numFmt w:val="bullet"/>
      <w:lvlText w:val="▸"/>
      <w:lvlJc w:val="left"/>
      <w:pPr>
        <w:tabs>
          <w:tab w:val="num" w:pos="2880"/>
        </w:tabs>
        <w:ind w:left="2880" w:hanging="360"/>
      </w:pPr>
      <w:rPr>
        <w:rFonts w:ascii="MS Mincho" w:hAnsi="MS Mincho" w:hint="default"/>
      </w:rPr>
    </w:lvl>
    <w:lvl w:ilvl="4" w:tplc="E8E41EFE" w:tentative="1">
      <w:start w:val="1"/>
      <w:numFmt w:val="bullet"/>
      <w:lvlText w:val="▸"/>
      <w:lvlJc w:val="left"/>
      <w:pPr>
        <w:tabs>
          <w:tab w:val="num" w:pos="3600"/>
        </w:tabs>
        <w:ind w:left="3600" w:hanging="360"/>
      </w:pPr>
      <w:rPr>
        <w:rFonts w:ascii="MS Mincho" w:hAnsi="MS Mincho" w:hint="default"/>
      </w:rPr>
    </w:lvl>
    <w:lvl w:ilvl="5" w:tplc="43207DF6" w:tentative="1">
      <w:start w:val="1"/>
      <w:numFmt w:val="bullet"/>
      <w:lvlText w:val="▸"/>
      <w:lvlJc w:val="left"/>
      <w:pPr>
        <w:tabs>
          <w:tab w:val="num" w:pos="4320"/>
        </w:tabs>
        <w:ind w:left="4320" w:hanging="360"/>
      </w:pPr>
      <w:rPr>
        <w:rFonts w:ascii="MS Mincho" w:hAnsi="MS Mincho" w:hint="default"/>
      </w:rPr>
    </w:lvl>
    <w:lvl w:ilvl="6" w:tplc="D6BEE8E4" w:tentative="1">
      <w:start w:val="1"/>
      <w:numFmt w:val="bullet"/>
      <w:lvlText w:val="▸"/>
      <w:lvlJc w:val="left"/>
      <w:pPr>
        <w:tabs>
          <w:tab w:val="num" w:pos="5040"/>
        </w:tabs>
        <w:ind w:left="5040" w:hanging="360"/>
      </w:pPr>
      <w:rPr>
        <w:rFonts w:ascii="MS Mincho" w:hAnsi="MS Mincho" w:hint="default"/>
      </w:rPr>
    </w:lvl>
    <w:lvl w:ilvl="7" w:tplc="0534E0E4" w:tentative="1">
      <w:start w:val="1"/>
      <w:numFmt w:val="bullet"/>
      <w:lvlText w:val="▸"/>
      <w:lvlJc w:val="left"/>
      <w:pPr>
        <w:tabs>
          <w:tab w:val="num" w:pos="5760"/>
        </w:tabs>
        <w:ind w:left="5760" w:hanging="360"/>
      </w:pPr>
      <w:rPr>
        <w:rFonts w:ascii="MS Mincho" w:hAnsi="MS Mincho" w:hint="default"/>
      </w:rPr>
    </w:lvl>
    <w:lvl w:ilvl="8" w:tplc="37A0759C" w:tentative="1">
      <w:start w:val="1"/>
      <w:numFmt w:val="bullet"/>
      <w:lvlText w:val="▸"/>
      <w:lvlJc w:val="left"/>
      <w:pPr>
        <w:tabs>
          <w:tab w:val="num" w:pos="6480"/>
        </w:tabs>
        <w:ind w:left="6480" w:hanging="360"/>
      </w:pPr>
      <w:rPr>
        <w:rFonts w:ascii="MS Mincho" w:hAnsi="MS Mincho" w:hint="default"/>
      </w:rPr>
    </w:lvl>
  </w:abstractNum>
  <w:abstractNum w:abstractNumId="13" w15:restartNumberingAfterBreak="0">
    <w:nsid w:val="3C177D2F"/>
    <w:multiLevelType w:val="hybridMultilevel"/>
    <w:tmpl w:val="58CC20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A0FDF"/>
    <w:multiLevelType w:val="hybridMultilevel"/>
    <w:tmpl w:val="33A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90476"/>
    <w:multiLevelType w:val="hybridMultilevel"/>
    <w:tmpl w:val="B2A03C6A"/>
    <w:lvl w:ilvl="0" w:tplc="0AE2E1C0">
      <w:start w:val="1"/>
      <w:numFmt w:val="bullet"/>
      <w:lvlText w:val="▸"/>
      <w:lvlJc w:val="left"/>
      <w:pPr>
        <w:tabs>
          <w:tab w:val="num" w:pos="720"/>
        </w:tabs>
        <w:ind w:left="720" w:hanging="360"/>
      </w:pPr>
      <w:rPr>
        <w:rFonts w:ascii="MS Mincho" w:hAnsi="MS Mincho" w:hint="default"/>
      </w:rPr>
    </w:lvl>
    <w:lvl w:ilvl="1" w:tplc="176026E2" w:tentative="1">
      <w:start w:val="1"/>
      <w:numFmt w:val="bullet"/>
      <w:lvlText w:val="▸"/>
      <w:lvlJc w:val="left"/>
      <w:pPr>
        <w:tabs>
          <w:tab w:val="num" w:pos="1440"/>
        </w:tabs>
        <w:ind w:left="1440" w:hanging="360"/>
      </w:pPr>
      <w:rPr>
        <w:rFonts w:ascii="MS Mincho" w:hAnsi="MS Mincho" w:hint="default"/>
      </w:rPr>
    </w:lvl>
    <w:lvl w:ilvl="2" w:tplc="141E1808" w:tentative="1">
      <w:start w:val="1"/>
      <w:numFmt w:val="bullet"/>
      <w:lvlText w:val="▸"/>
      <w:lvlJc w:val="left"/>
      <w:pPr>
        <w:tabs>
          <w:tab w:val="num" w:pos="2160"/>
        </w:tabs>
        <w:ind w:left="2160" w:hanging="360"/>
      </w:pPr>
      <w:rPr>
        <w:rFonts w:ascii="MS Mincho" w:hAnsi="MS Mincho" w:hint="default"/>
      </w:rPr>
    </w:lvl>
    <w:lvl w:ilvl="3" w:tplc="534E6022" w:tentative="1">
      <w:start w:val="1"/>
      <w:numFmt w:val="bullet"/>
      <w:lvlText w:val="▸"/>
      <w:lvlJc w:val="left"/>
      <w:pPr>
        <w:tabs>
          <w:tab w:val="num" w:pos="2880"/>
        </w:tabs>
        <w:ind w:left="2880" w:hanging="360"/>
      </w:pPr>
      <w:rPr>
        <w:rFonts w:ascii="MS Mincho" w:hAnsi="MS Mincho" w:hint="default"/>
      </w:rPr>
    </w:lvl>
    <w:lvl w:ilvl="4" w:tplc="61D4753C" w:tentative="1">
      <w:start w:val="1"/>
      <w:numFmt w:val="bullet"/>
      <w:lvlText w:val="▸"/>
      <w:lvlJc w:val="left"/>
      <w:pPr>
        <w:tabs>
          <w:tab w:val="num" w:pos="3600"/>
        </w:tabs>
        <w:ind w:left="3600" w:hanging="360"/>
      </w:pPr>
      <w:rPr>
        <w:rFonts w:ascii="MS Mincho" w:hAnsi="MS Mincho" w:hint="default"/>
      </w:rPr>
    </w:lvl>
    <w:lvl w:ilvl="5" w:tplc="EBF4A550" w:tentative="1">
      <w:start w:val="1"/>
      <w:numFmt w:val="bullet"/>
      <w:lvlText w:val="▸"/>
      <w:lvlJc w:val="left"/>
      <w:pPr>
        <w:tabs>
          <w:tab w:val="num" w:pos="4320"/>
        </w:tabs>
        <w:ind w:left="4320" w:hanging="360"/>
      </w:pPr>
      <w:rPr>
        <w:rFonts w:ascii="MS Mincho" w:hAnsi="MS Mincho" w:hint="default"/>
      </w:rPr>
    </w:lvl>
    <w:lvl w:ilvl="6" w:tplc="731C5A36" w:tentative="1">
      <w:start w:val="1"/>
      <w:numFmt w:val="bullet"/>
      <w:lvlText w:val="▸"/>
      <w:lvlJc w:val="left"/>
      <w:pPr>
        <w:tabs>
          <w:tab w:val="num" w:pos="5040"/>
        </w:tabs>
        <w:ind w:left="5040" w:hanging="360"/>
      </w:pPr>
      <w:rPr>
        <w:rFonts w:ascii="MS Mincho" w:hAnsi="MS Mincho" w:hint="default"/>
      </w:rPr>
    </w:lvl>
    <w:lvl w:ilvl="7" w:tplc="2356EC70" w:tentative="1">
      <w:start w:val="1"/>
      <w:numFmt w:val="bullet"/>
      <w:lvlText w:val="▸"/>
      <w:lvlJc w:val="left"/>
      <w:pPr>
        <w:tabs>
          <w:tab w:val="num" w:pos="5760"/>
        </w:tabs>
        <w:ind w:left="5760" w:hanging="360"/>
      </w:pPr>
      <w:rPr>
        <w:rFonts w:ascii="MS Mincho" w:hAnsi="MS Mincho" w:hint="default"/>
      </w:rPr>
    </w:lvl>
    <w:lvl w:ilvl="8" w:tplc="4DF072E2" w:tentative="1">
      <w:start w:val="1"/>
      <w:numFmt w:val="bullet"/>
      <w:lvlText w:val="▸"/>
      <w:lvlJc w:val="left"/>
      <w:pPr>
        <w:tabs>
          <w:tab w:val="num" w:pos="6480"/>
        </w:tabs>
        <w:ind w:left="6480" w:hanging="360"/>
      </w:pPr>
      <w:rPr>
        <w:rFonts w:ascii="MS Mincho" w:hAnsi="MS Mincho"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EE"/>
    <w:rsid w:val="000024C0"/>
    <w:rsid w:val="00036BC6"/>
    <w:rsid w:val="000602F7"/>
    <w:rsid w:val="000833D9"/>
    <w:rsid w:val="000A0C02"/>
    <w:rsid w:val="000C5839"/>
    <w:rsid w:val="000C705F"/>
    <w:rsid w:val="000E5119"/>
    <w:rsid w:val="00127498"/>
    <w:rsid w:val="00131438"/>
    <w:rsid w:val="00165E4A"/>
    <w:rsid w:val="00186F7D"/>
    <w:rsid w:val="001C4050"/>
    <w:rsid w:val="001C50F2"/>
    <w:rsid w:val="001D3F2E"/>
    <w:rsid w:val="001E683C"/>
    <w:rsid w:val="00216A5D"/>
    <w:rsid w:val="002D5144"/>
    <w:rsid w:val="002F7DAC"/>
    <w:rsid w:val="003335FF"/>
    <w:rsid w:val="003C21BB"/>
    <w:rsid w:val="003D4A74"/>
    <w:rsid w:val="00452836"/>
    <w:rsid w:val="004708BA"/>
    <w:rsid w:val="0049081A"/>
    <w:rsid w:val="004913F1"/>
    <w:rsid w:val="004F73A8"/>
    <w:rsid w:val="0051142A"/>
    <w:rsid w:val="00514829"/>
    <w:rsid w:val="005413CA"/>
    <w:rsid w:val="00550689"/>
    <w:rsid w:val="0056482C"/>
    <w:rsid w:val="00593F48"/>
    <w:rsid w:val="005D37EE"/>
    <w:rsid w:val="005E2C6A"/>
    <w:rsid w:val="006240CE"/>
    <w:rsid w:val="00625621"/>
    <w:rsid w:val="006A03AC"/>
    <w:rsid w:val="006E30FB"/>
    <w:rsid w:val="00700EE0"/>
    <w:rsid w:val="00752F61"/>
    <w:rsid w:val="00757EAC"/>
    <w:rsid w:val="00763846"/>
    <w:rsid w:val="007A23D6"/>
    <w:rsid w:val="00841C0A"/>
    <w:rsid w:val="00887118"/>
    <w:rsid w:val="008A0504"/>
    <w:rsid w:val="008B57D5"/>
    <w:rsid w:val="009027CC"/>
    <w:rsid w:val="0090600B"/>
    <w:rsid w:val="00913E5C"/>
    <w:rsid w:val="00921ABA"/>
    <w:rsid w:val="009550F4"/>
    <w:rsid w:val="0096149F"/>
    <w:rsid w:val="0097755B"/>
    <w:rsid w:val="009B1711"/>
    <w:rsid w:val="009D43F9"/>
    <w:rsid w:val="00A06616"/>
    <w:rsid w:val="00B02A85"/>
    <w:rsid w:val="00B05050"/>
    <w:rsid w:val="00B23D86"/>
    <w:rsid w:val="00B3413C"/>
    <w:rsid w:val="00B8188E"/>
    <w:rsid w:val="00BB68A5"/>
    <w:rsid w:val="00BC5154"/>
    <w:rsid w:val="00C05C8C"/>
    <w:rsid w:val="00C123FC"/>
    <w:rsid w:val="00C2645B"/>
    <w:rsid w:val="00C54AD4"/>
    <w:rsid w:val="00C62CCB"/>
    <w:rsid w:val="00CA1920"/>
    <w:rsid w:val="00CE1DF0"/>
    <w:rsid w:val="00CF024F"/>
    <w:rsid w:val="00CF3CFC"/>
    <w:rsid w:val="00D96E8C"/>
    <w:rsid w:val="00DA7AF7"/>
    <w:rsid w:val="00DB3484"/>
    <w:rsid w:val="00DC3EB9"/>
    <w:rsid w:val="00DE1953"/>
    <w:rsid w:val="00DE5306"/>
    <w:rsid w:val="00EA53FB"/>
    <w:rsid w:val="00EB26E9"/>
    <w:rsid w:val="00EB5E63"/>
    <w:rsid w:val="00EC3F2C"/>
    <w:rsid w:val="00F00FE0"/>
    <w:rsid w:val="00F31754"/>
    <w:rsid w:val="00FD108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E4286BF-2F8B-4C19-B421-24777D25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2D0"/>
    <w:pPr>
      <w:tabs>
        <w:tab w:val="left" w:pos="6237"/>
      </w:tabs>
      <w:spacing w:after="0" w:line="260" w:lineRule="exact"/>
    </w:pPr>
    <w:rPr>
      <w:rFonts w:ascii="Arial" w:eastAsiaTheme="minorEastAsia" w:hAnsi="Arial"/>
      <w:color w:val="000000"/>
      <w:sz w:val="20"/>
      <w:szCs w:val="22"/>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3D7"/>
    <w:pPr>
      <w:tabs>
        <w:tab w:val="clear" w:pos="6237"/>
        <w:tab w:val="center" w:pos="4320"/>
        <w:tab w:val="right" w:pos="8640"/>
      </w:tabs>
      <w:spacing w:line="240" w:lineRule="auto"/>
    </w:pPr>
  </w:style>
  <w:style w:type="character" w:customStyle="1" w:styleId="HeaderChar">
    <w:name w:val="Header Char"/>
    <w:basedOn w:val="DefaultParagraphFont"/>
    <w:link w:val="Header"/>
    <w:uiPriority w:val="99"/>
    <w:rsid w:val="00A423D7"/>
    <w:rPr>
      <w:rFonts w:ascii="AGaramond" w:eastAsiaTheme="minorEastAsia" w:hAnsi="AGaramond"/>
      <w:color w:val="808080" w:themeColor="background1" w:themeShade="80"/>
      <w:sz w:val="20"/>
      <w:szCs w:val="22"/>
      <w:lang w:eastAsia="nb-NO"/>
    </w:rPr>
  </w:style>
  <w:style w:type="paragraph" w:styleId="Footer">
    <w:name w:val="footer"/>
    <w:basedOn w:val="Normal"/>
    <w:link w:val="FooterChar"/>
    <w:uiPriority w:val="99"/>
    <w:unhideWhenUsed/>
    <w:rsid w:val="00A423D7"/>
    <w:pPr>
      <w:tabs>
        <w:tab w:val="clear" w:pos="6237"/>
        <w:tab w:val="center" w:pos="4320"/>
        <w:tab w:val="right" w:pos="8640"/>
      </w:tabs>
      <w:spacing w:line="240" w:lineRule="auto"/>
    </w:pPr>
  </w:style>
  <w:style w:type="character" w:customStyle="1" w:styleId="FooterChar">
    <w:name w:val="Footer Char"/>
    <w:basedOn w:val="DefaultParagraphFont"/>
    <w:link w:val="Footer"/>
    <w:uiPriority w:val="99"/>
    <w:rsid w:val="00A423D7"/>
    <w:rPr>
      <w:rFonts w:ascii="AGaramond" w:eastAsiaTheme="minorEastAsia" w:hAnsi="AGaramond"/>
      <w:color w:val="808080" w:themeColor="background1" w:themeShade="80"/>
      <w:sz w:val="20"/>
      <w:szCs w:val="22"/>
      <w:lang w:eastAsia="nb-NO"/>
    </w:rPr>
  </w:style>
  <w:style w:type="character" w:styleId="PageNumber">
    <w:name w:val="page number"/>
    <w:basedOn w:val="DefaultParagraphFont"/>
    <w:rsid w:val="006536F7"/>
  </w:style>
  <w:style w:type="table" w:styleId="TableGrid">
    <w:name w:val="Table Grid"/>
    <w:basedOn w:val="TableNormal"/>
    <w:rsid w:val="00200CC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833D9"/>
  </w:style>
  <w:style w:type="table" w:styleId="ColorfulList-Accent2">
    <w:name w:val="Colorful List Accent 2"/>
    <w:basedOn w:val="TableNormal"/>
    <w:rsid w:val="00165E4A"/>
    <w:pPr>
      <w:spacing w:after="0"/>
    </w:pPr>
    <w:rPr>
      <w:color w:val="023F88" w:themeColor="text1"/>
    </w:rPr>
    <w:tblPr>
      <w:tblStyleRowBandSize w:val="1"/>
      <w:tblStyleColBandSize w:val="1"/>
    </w:tblPr>
    <w:tcPr>
      <w:shd w:val="clear" w:color="auto" w:fill="DEF1FF" w:themeFill="accent2" w:themeFillTint="19"/>
    </w:tcPr>
    <w:tblStylePr w:type="firstRow">
      <w:rPr>
        <w:b/>
        <w:bCs/>
        <w:color w:val="FFFFFF" w:themeColor="background1"/>
      </w:rPr>
      <w:tblPr/>
      <w:tcPr>
        <w:tcBorders>
          <w:bottom w:val="single" w:sz="12" w:space="0" w:color="FFFFFF" w:themeColor="background1"/>
        </w:tcBorders>
        <w:shd w:val="clear" w:color="auto" w:fill="005692" w:themeFill="accent2" w:themeFillShade="CC"/>
      </w:tcPr>
    </w:tblStylePr>
    <w:tblStylePr w:type="lastRow">
      <w:rPr>
        <w:b/>
        <w:bCs/>
        <w:color w:val="005692" w:themeColor="accent2" w:themeShade="CC"/>
      </w:rPr>
      <w:tblPr/>
      <w:tcPr>
        <w:tcBorders>
          <w:top w:val="single" w:sz="12" w:space="0" w:color="023F8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DFF" w:themeFill="accent2" w:themeFillTint="3F"/>
      </w:tcPr>
    </w:tblStylePr>
    <w:tblStylePr w:type="band1Horz">
      <w:tblPr/>
      <w:tcPr>
        <w:shd w:val="clear" w:color="auto" w:fill="BDE3FF" w:themeFill="accent2" w:themeFillTint="33"/>
      </w:tcPr>
    </w:tblStylePr>
  </w:style>
  <w:style w:type="table" w:styleId="MediumShading1-Accent3">
    <w:name w:val="Medium Shading 1 Accent 3"/>
    <w:basedOn w:val="TableNormal"/>
    <w:rsid w:val="00165E4A"/>
    <w:pPr>
      <w:spacing w:after="0"/>
    </w:pPr>
    <w:tblPr>
      <w:tblStyleRowBandSize w:val="1"/>
      <w:tblStyleColBandSize w:val="1"/>
      <w:tblBorders>
        <w:top w:val="single" w:sz="8" w:space="0" w:color="7DC8ED" w:themeColor="accent3" w:themeTint="BF"/>
        <w:left w:val="single" w:sz="8" w:space="0" w:color="7DC8ED" w:themeColor="accent3" w:themeTint="BF"/>
        <w:bottom w:val="single" w:sz="8" w:space="0" w:color="7DC8ED" w:themeColor="accent3" w:themeTint="BF"/>
        <w:right w:val="single" w:sz="8" w:space="0" w:color="7DC8ED" w:themeColor="accent3" w:themeTint="BF"/>
        <w:insideH w:val="single" w:sz="8" w:space="0" w:color="7DC8ED" w:themeColor="accent3" w:themeTint="BF"/>
      </w:tblBorders>
    </w:tblPr>
    <w:tblStylePr w:type="firstRow">
      <w:pPr>
        <w:spacing w:before="0" w:after="0" w:line="240" w:lineRule="auto"/>
      </w:pPr>
      <w:rPr>
        <w:b/>
        <w:bCs/>
        <w:color w:val="FFFFFF" w:themeColor="background1"/>
      </w:rPr>
      <w:tblPr/>
      <w:tcPr>
        <w:tcBorders>
          <w:top w:val="single" w:sz="8" w:space="0" w:color="7DC8ED" w:themeColor="accent3" w:themeTint="BF"/>
          <w:left w:val="single" w:sz="8" w:space="0" w:color="7DC8ED" w:themeColor="accent3" w:themeTint="BF"/>
          <w:bottom w:val="single" w:sz="8" w:space="0" w:color="7DC8ED" w:themeColor="accent3" w:themeTint="BF"/>
          <w:right w:val="single" w:sz="8" w:space="0" w:color="7DC8ED" w:themeColor="accent3" w:themeTint="BF"/>
          <w:insideH w:val="nil"/>
          <w:insideV w:val="nil"/>
        </w:tcBorders>
        <w:shd w:val="clear" w:color="auto" w:fill="53B7E8" w:themeFill="accent3"/>
      </w:tcPr>
    </w:tblStylePr>
    <w:tblStylePr w:type="lastRow">
      <w:pPr>
        <w:spacing w:before="0" w:after="0" w:line="240" w:lineRule="auto"/>
      </w:pPr>
      <w:rPr>
        <w:b/>
        <w:bCs/>
      </w:rPr>
      <w:tblPr/>
      <w:tcPr>
        <w:tcBorders>
          <w:top w:val="double" w:sz="6" w:space="0" w:color="7DC8ED" w:themeColor="accent3" w:themeTint="BF"/>
          <w:left w:val="single" w:sz="8" w:space="0" w:color="7DC8ED" w:themeColor="accent3" w:themeTint="BF"/>
          <w:bottom w:val="single" w:sz="8" w:space="0" w:color="7DC8ED" w:themeColor="accent3" w:themeTint="BF"/>
          <w:right w:val="single" w:sz="8" w:space="0" w:color="7DC8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4EDF9" w:themeFill="accent3" w:themeFillTint="3F"/>
      </w:tcPr>
    </w:tblStylePr>
    <w:tblStylePr w:type="band1Horz">
      <w:tblPr/>
      <w:tcPr>
        <w:tcBorders>
          <w:insideH w:val="nil"/>
          <w:insideV w:val="nil"/>
        </w:tcBorders>
        <w:shd w:val="clear" w:color="auto" w:fill="D4EDF9" w:themeFill="accent3" w:themeFillTint="3F"/>
      </w:tcPr>
    </w:tblStylePr>
    <w:tblStylePr w:type="band2Horz">
      <w:tblPr/>
      <w:tcPr>
        <w:tcBorders>
          <w:insideH w:val="nil"/>
          <w:insideV w:val="nil"/>
        </w:tcBorders>
      </w:tcPr>
    </w:tblStylePr>
  </w:style>
  <w:style w:type="table" w:styleId="MediumGrid2-Accent3">
    <w:name w:val="Medium Grid 2 Accent 3"/>
    <w:basedOn w:val="TableNormal"/>
    <w:rsid w:val="00165E4A"/>
    <w:pPr>
      <w:spacing w:after="0"/>
    </w:pPr>
    <w:rPr>
      <w:rFonts w:asciiTheme="majorHAnsi" w:eastAsiaTheme="majorEastAsia" w:hAnsiTheme="majorHAnsi" w:cstheme="majorBidi"/>
      <w:color w:val="023F88" w:themeColor="text1"/>
    </w:rPr>
    <w:tblPr>
      <w:tblStyleRowBandSize w:val="1"/>
      <w:tblStyleColBandSize w:val="1"/>
      <w:tblBorders>
        <w:top w:val="single" w:sz="8" w:space="0" w:color="53B7E8" w:themeColor="accent3"/>
        <w:left w:val="single" w:sz="8" w:space="0" w:color="53B7E8" w:themeColor="accent3"/>
        <w:bottom w:val="single" w:sz="8" w:space="0" w:color="53B7E8" w:themeColor="accent3"/>
        <w:right w:val="single" w:sz="8" w:space="0" w:color="53B7E8" w:themeColor="accent3"/>
        <w:insideH w:val="single" w:sz="8" w:space="0" w:color="53B7E8" w:themeColor="accent3"/>
        <w:insideV w:val="single" w:sz="8" w:space="0" w:color="53B7E8" w:themeColor="accent3"/>
      </w:tblBorders>
    </w:tblPr>
    <w:tcPr>
      <w:shd w:val="clear" w:color="auto" w:fill="D4EDF9" w:themeFill="accent3" w:themeFillTint="3F"/>
    </w:tcPr>
    <w:tblStylePr w:type="firstRow">
      <w:rPr>
        <w:b/>
        <w:bCs/>
        <w:color w:val="023F88" w:themeColor="text1"/>
      </w:rPr>
      <w:tblPr/>
      <w:tcPr>
        <w:shd w:val="clear" w:color="auto" w:fill="EDF7FC" w:themeFill="accent3" w:themeFillTint="19"/>
      </w:tcPr>
    </w:tblStylePr>
    <w:tblStylePr w:type="lastRow">
      <w:rPr>
        <w:b/>
        <w:bCs/>
        <w:color w:val="023F88" w:themeColor="text1"/>
      </w:rPr>
      <w:tblPr/>
      <w:tcPr>
        <w:tcBorders>
          <w:top w:val="single" w:sz="12" w:space="0" w:color="023F88" w:themeColor="text1"/>
          <w:left w:val="nil"/>
          <w:bottom w:val="nil"/>
          <w:right w:val="nil"/>
          <w:insideH w:val="nil"/>
          <w:insideV w:val="nil"/>
        </w:tcBorders>
        <w:shd w:val="clear" w:color="auto" w:fill="FFFFFF" w:themeFill="background1"/>
      </w:tcPr>
    </w:tblStylePr>
    <w:tblStylePr w:type="firstCol">
      <w:rPr>
        <w:b/>
        <w:bCs/>
        <w:color w:val="023F8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23F88" w:themeColor="text1"/>
      </w:rPr>
      <w:tblPr/>
      <w:tcPr>
        <w:tcBorders>
          <w:top w:val="nil"/>
          <w:left w:val="nil"/>
          <w:bottom w:val="nil"/>
          <w:right w:val="nil"/>
          <w:insideH w:val="nil"/>
          <w:insideV w:val="nil"/>
        </w:tcBorders>
        <w:shd w:val="clear" w:color="auto" w:fill="DCF0FA" w:themeFill="accent3" w:themeFillTint="33"/>
      </w:tcPr>
    </w:tblStylePr>
    <w:tblStylePr w:type="band1Vert">
      <w:tblPr/>
      <w:tcPr>
        <w:shd w:val="clear" w:color="auto" w:fill="A9DBF3" w:themeFill="accent3" w:themeFillTint="7F"/>
      </w:tcPr>
    </w:tblStylePr>
    <w:tblStylePr w:type="band1Horz">
      <w:tblPr/>
      <w:tcPr>
        <w:tcBorders>
          <w:insideH w:val="single" w:sz="6" w:space="0" w:color="53B7E8" w:themeColor="accent3"/>
          <w:insideV w:val="single" w:sz="6" w:space="0" w:color="53B7E8" w:themeColor="accent3"/>
        </w:tcBorders>
        <w:shd w:val="clear" w:color="auto" w:fill="A9DBF3" w:themeFill="accent3" w:themeFillTint="7F"/>
      </w:tcPr>
    </w:tblStylePr>
    <w:tblStylePr w:type="nwCell">
      <w:tblPr/>
      <w:tcPr>
        <w:shd w:val="clear" w:color="auto" w:fill="FFFFFF" w:themeFill="background1"/>
      </w:tcPr>
    </w:tblStylePr>
  </w:style>
  <w:style w:type="table" w:styleId="MediumGrid1-Accent3">
    <w:name w:val="Medium Grid 1 Accent 3"/>
    <w:basedOn w:val="TableNormal"/>
    <w:rsid w:val="00165E4A"/>
    <w:pPr>
      <w:spacing w:after="0"/>
    </w:pPr>
    <w:tblPr>
      <w:tblStyleRowBandSize w:val="1"/>
      <w:tblStyleColBandSize w:val="1"/>
      <w:tblBorders>
        <w:top w:val="single" w:sz="8" w:space="0" w:color="7DC8ED" w:themeColor="accent3" w:themeTint="BF"/>
        <w:left w:val="single" w:sz="8" w:space="0" w:color="7DC8ED" w:themeColor="accent3" w:themeTint="BF"/>
        <w:bottom w:val="single" w:sz="8" w:space="0" w:color="7DC8ED" w:themeColor="accent3" w:themeTint="BF"/>
        <w:right w:val="single" w:sz="8" w:space="0" w:color="7DC8ED" w:themeColor="accent3" w:themeTint="BF"/>
        <w:insideH w:val="single" w:sz="8" w:space="0" w:color="7DC8ED" w:themeColor="accent3" w:themeTint="BF"/>
        <w:insideV w:val="single" w:sz="8" w:space="0" w:color="7DC8ED" w:themeColor="accent3" w:themeTint="BF"/>
      </w:tblBorders>
    </w:tblPr>
    <w:tcPr>
      <w:shd w:val="clear" w:color="auto" w:fill="D4EDF9" w:themeFill="accent3" w:themeFillTint="3F"/>
    </w:tcPr>
    <w:tblStylePr w:type="firstRow">
      <w:rPr>
        <w:b/>
        <w:bCs/>
      </w:rPr>
    </w:tblStylePr>
    <w:tblStylePr w:type="lastRow">
      <w:rPr>
        <w:b/>
        <w:bCs/>
      </w:rPr>
      <w:tblPr/>
      <w:tcPr>
        <w:tcBorders>
          <w:top w:val="single" w:sz="18" w:space="0" w:color="7DC8ED" w:themeColor="accent3" w:themeTint="BF"/>
        </w:tcBorders>
      </w:tcPr>
    </w:tblStylePr>
    <w:tblStylePr w:type="firstCol">
      <w:rPr>
        <w:b/>
        <w:bCs/>
      </w:rPr>
    </w:tblStylePr>
    <w:tblStylePr w:type="lastCol">
      <w:rPr>
        <w:b/>
        <w:bCs/>
      </w:rPr>
    </w:tblStylePr>
    <w:tblStylePr w:type="band1Vert">
      <w:tblPr/>
      <w:tcPr>
        <w:shd w:val="clear" w:color="auto" w:fill="A9DBF3" w:themeFill="accent3" w:themeFillTint="7F"/>
      </w:tcPr>
    </w:tblStylePr>
    <w:tblStylePr w:type="band1Horz">
      <w:tblPr/>
      <w:tcPr>
        <w:shd w:val="clear" w:color="auto" w:fill="A9DBF3" w:themeFill="accent3" w:themeFillTint="7F"/>
      </w:tcPr>
    </w:tblStylePr>
  </w:style>
  <w:style w:type="table" w:styleId="MediumGrid3-Accent3">
    <w:name w:val="Medium Grid 3 Accent 3"/>
    <w:basedOn w:val="TableNormal"/>
    <w:rsid w:val="00165E4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D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B7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B7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B7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B7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DB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DBF3" w:themeFill="accent3" w:themeFillTint="7F"/>
      </w:tcPr>
    </w:tblStylePr>
  </w:style>
  <w:style w:type="paragraph" w:styleId="ListParagraph">
    <w:name w:val="List Paragraph"/>
    <w:basedOn w:val="Normal"/>
    <w:rsid w:val="004F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00696">
      <w:bodyDiv w:val="1"/>
      <w:marLeft w:val="0"/>
      <w:marRight w:val="0"/>
      <w:marTop w:val="0"/>
      <w:marBottom w:val="0"/>
      <w:divBdr>
        <w:top w:val="none" w:sz="0" w:space="0" w:color="auto"/>
        <w:left w:val="none" w:sz="0" w:space="0" w:color="auto"/>
        <w:bottom w:val="none" w:sz="0" w:space="0" w:color="auto"/>
        <w:right w:val="none" w:sz="0" w:space="0" w:color="auto"/>
      </w:divBdr>
      <w:divsChild>
        <w:div w:id="1874809135">
          <w:marLeft w:val="547"/>
          <w:marRight w:val="0"/>
          <w:marTop w:val="86"/>
          <w:marBottom w:val="0"/>
          <w:divBdr>
            <w:top w:val="none" w:sz="0" w:space="0" w:color="auto"/>
            <w:left w:val="none" w:sz="0" w:space="0" w:color="auto"/>
            <w:bottom w:val="none" w:sz="0" w:space="0" w:color="auto"/>
            <w:right w:val="none" w:sz="0" w:space="0" w:color="auto"/>
          </w:divBdr>
        </w:div>
        <w:div w:id="559097450">
          <w:marLeft w:val="547"/>
          <w:marRight w:val="0"/>
          <w:marTop w:val="86"/>
          <w:marBottom w:val="0"/>
          <w:divBdr>
            <w:top w:val="none" w:sz="0" w:space="0" w:color="auto"/>
            <w:left w:val="none" w:sz="0" w:space="0" w:color="auto"/>
            <w:bottom w:val="none" w:sz="0" w:space="0" w:color="auto"/>
            <w:right w:val="none" w:sz="0" w:space="0" w:color="auto"/>
          </w:divBdr>
        </w:div>
        <w:div w:id="952781573">
          <w:marLeft w:val="547"/>
          <w:marRight w:val="0"/>
          <w:marTop w:val="86"/>
          <w:marBottom w:val="0"/>
          <w:divBdr>
            <w:top w:val="none" w:sz="0" w:space="0" w:color="auto"/>
            <w:left w:val="none" w:sz="0" w:space="0" w:color="auto"/>
            <w:bottom w:val="none" w:sz="0" w:space="0" w:color="auto"/>
            <w:right w:val="none" w:sz="0" w:space="0" w:color="auto"/>
          </w:divBdr>
        </w:div>
      </w:divsChild>
    </w:div>
    <w:div w:id="556668245">
      <w:bodyDiv w:val="1"/>
      <w:marLeft w:val="0"/>
      <w:marRight w:val="0"/>
      <w:marTop w:val="0"/>
      <w:marBottom w:val="0"/>
      <w:divBdr>
        <w:top w:val="none" w:sz="0" w:space="0" w:color="auto"/>
        <w:left w:val="none" w:sz="0" w:space="0" w:color="auto"/>
        <w:bottom w:val="none" w:sz="0" w:space="0" w:color="auto"/>
        <w:right w:val="none" w:sz="0" w:space="0" w:color="auto"/>
      </w:divBdr>
      <w:divsChild>
        <w:div w:id="912355897">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KA 1">
      <a:dk1>
        <a:srgbClr val="023F88"/>
      </a:dk1>
      <a:lt1>
        <a:sysClr val="window" lastClr="FFFFFF"/>
      </a:lt1>
      <a:dk2>
        <a:srgbClr val="006CB7"/>
      </a:dk2>
      <a:lt2>
        <a:srgbClr val="E6E7E8"/>
      </a:lt2>
      <a:accent1>
        <a:srgbClr val="023F88"/>
      </a:accent1>
      <a:accent2>
        <a:srgbClr val="006CB7"/>
      </a:accent2>
      <a:accent3>
        <a:srgbClr val="53B7E8"/>
      </a:accent3>
      <a:accent4>
        <a:srgbClr val="BCBEC0"/>
      </a:accent4>
      <a:accent5>
        <a:srgbClr val="F26522"/>
      </a:accent5>
      <a:accent6>
        <a:srgbClr val="629B33"/>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Kongsberg Automotive</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Brekke</dc:creator>
  <cp:lastModifiedBy>Jon Munthe</cp:lastModifiedBy>
  <cp:revision>2</cp:revision>
  <cp:lastPrinted>2011-12-09T11:27:00Z</cp:lastPrinted>
  <dcterms:created xsi:type="dcterms:W3CDTF">2016-03-09T15:24:00Z</dcterms:created>
  <dcterms:modified xsi:type="dcterms:W3CDTF">2016-03-09T15:24:00Z</dcterms:modified>
</cp:coreProperties>
</file>