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5B" w:rsidRPr="00C8783E" w:rsidRDefault="0060755B" w:rsidP="0060755B">
      <w:pPr>
        <w:tabs>
          <w:tab w:val="clear" w:pos="6237"/>
        </w:tabs>
        <w:autoSpaceDE w:val="0"/>
        <w:autoSpaceDN w:val="0"/>
        <w:adjustRightInd w:val="0"/>
        <w:spacing w:line="240" w:lineRule="auto"/>
        <w:rPr>
          <w:rFonts w:cs="Arial"/>
          <w:sz w:val="16"/>
          <w:szCs w:val="16"/>
          <w:lang w:val="nb-NO"/>
        </w:rPr>
      </w:pPr>
      <w:bookmarkStart w:id="0" w:name="_GoBack"/>
      <w:bookmarkEnd w:id="0"/>
      <w:r w:rsidRPr="00C8783E">
        <w:rPr>
          <w:rFonts w:eastAsiaTheme="minorHAnsi"/>
          <w:color w:val="auto"/>
          <w:sz w:val="16"/>
          <w:lang w:val="nb-NO"/>
        </w:rPr>
        <w:t>I henhold til Lov om allmennaksjeselskaper § 6-16</w:t>
      </w:r>
      <w:r>
        <w:rPr>
          <w:rFonts w:eastAsiaTheme="minorHAnsi"/>
          <w:color w:val="auto"/>
          <w:sz w:val="16"/>
          <w:lang w:val="nb-NO"/>
        </w:rPr>
        <w:t xml:space="preserve"> </w:t>
      </w:r>
      <w:r w:rsidRPr="00C8783E">
        <w:rPr>
          <w:rFonts w:eastAsiaTheme="minorHAnsi"/>
          <w:color w:val="auto"/>
          <w:sz w:val="16"/>
          <w:lang w:val="nb-NO"/>
        </w:rPr>
        <w:t xml:space="preserve">a fremlegger styret følgende erklæring angående godtgjørelse for Kongsberg Automotives </w:t>
      </w:r>
      <w:r>
        <w:rPr>
          <w:rFonts w:eastAsiaTheme="minorHAnsi"/>
          <w:color w:val="auto"/>
          <w:sz w:val="16"/>
          <w:lang w:val="nb-NO"/>
        </w:rPr>
        <w:t>konsernledelse</w:t>
      </w:r>
      <w:r w:rsidRPr="00C8783E">
        <w:rPr>
          <w:rFonts w:eastAsiaTheme="minorHAnsi"/>
          <w:color w:val="auto"/>
          <w:sz w:val="16"/>
          <w:lang w:val="nb-NO"/>
        </w:rPr>
        <w:t xml:space="preserve"> på den ordinære generalforsamlingen i 201</w:t>
      </w:r>
      <w:r>
        <w:rPr>
          <w:rFonts w:eastAsiaTheme="minorHAnsi"/>
          <w:color w:val="auto"/>
          <w:sz w:val="16"/>
          <w:lang w:val="nb-NO"/>
        </w:rPr>
        <w:t>6</w:t>
      </w:r>
      <w:r w:rsidRPr="00C8783E">
        <w:rPr>
          <w:rFonts w:eastAsiaTheme="minorHAnsi" w:cs="Arial"/>
          <w:color w:val="auto"/>
          <w:sz w:val="16"/>
          <w:szCs w:val="16"/>
          <w:lang w:val="nb-NO" w:eastAsia="en-US"/>
        </w:rPr>
        <w:t>.</w:t>
      </w:r>
    </w:p>
    <w:p w:rsidR="0060755B" w:rsidRDefault="0060755B" w:rsidP="00B35450">
      <w:pPr>
        <w:tabs>
          <w:tab w:val="clear" w:pos="6237"/>
        </w:tabs>
        <w:spacing w:line="240" w:lineRule="auto"/>
        <w:ind w:right="-7"/>
        <w:rPr>
          <w:lang w:val="nb-NO"/>
        </w:rPr>
      </w:pPr>
    </w:p>
    <w:p w:rsidR="00593F48" w:rsidRPr="00BB5FFD" w:rsidRDefault="00BB5FFD" w:rsidP="00B35450">
      <w:pPr>
        <w:tabs>
          <w:tab w:val="clear" w:pos="6237"/>
        </w:tabs>
        <w:spacing w:line="240" w:lineRule="auto"/>
        <w:ind w:right="-7"/>
        <w:rPr>
          <w:lang w:val="nb-NO"/>
        </w:rPr>
      </w:pPr>
      <w:r w:rsidRPr="00BB5FFD">
        <w:rPr>
          <w:lang w:val="nb-NO"/>
        </w:rPr>
        <w:t>Konsernet skal ha ledere som til enhver tid er i stand til å sikre aksjonærenes og andre interessenters interesser på best mulig måte. En måte å oppnå dette på er å tilby hver leder en konkurransedyktig kompensasjonspakke</w:t>
      </w:r>
      <w:r w:rsidR="000A0C02" w:rsidRPr="00BB5FFD">
        <w:rPr>
          <w:lang w:val="nb-NO"/>
        </w:rPr>
        <w:t>.</w:t>
      </w:r>
    </w:p>
    <w:p w:rsidR="000A0C02" w:rsidRPr="00BB5FFD" w:rsidRDefault="000A0C02" w:rsidP="00593F48">
      <w:pPr>
        <w:tabs>
          <w:tab w:val="clear" w:pos="6237"/>
        </w:tabs>
        <w:ind w:right="-7"/>
        <w:rPr>
          <w:lang w:val="nb-NO"/>
        </w:rPr>
      </w:pPr>
    </w:p>
    <w:p w:rsidR="00FD1085" w:rsidRPr="00BB5FFD" w:rsidRDefault="00BB5FFD" w:rsidP="00FD1085">
      <w:pPr>
        <w:tabs>
          <w:tab w:val="clear" w:pos="6237"/>
        </w:tabs>
        <w:ind w:right="-7"/>
        <w:rPr>
          <w:b/>
          <w:lang w:val="nb-NO"/>
        </w:rPr>
      </w:pPr>
      <w:r w:rsidRPr="00BB5FFD">
        <w:rPr>
          <w:b/>
          <w:lang w:val="nb-NO"/>
        </w:rPr>
        <w:t>FORVALTNING</w:t>
      </w:r>
    </w:p>
    <w:p w:rsidR="00BB5FFD" w:rsidRPr="00BB5FFD" w:rsidRDefault="00BB5FFD" w:rsidP="00593F48">
      <w:pPr>
        <w:tabs>
          <w:tab w:val="clear" w:pos="6237"/>
        </w:tabs>
        <w:ind w:right="-7"/>
        <w:rPr>
          <w:rFonts w:cs="Arial"/>
          <w:szCs w:val="20"/>
          <w:lang w:val="nb-NO"/>
        </w:rPr>
      </w:pPr>
      <w:r w:rsidRPr="00BB5FFD">
        <w:rPr>
          <w:rFonts w:eastAsiaTheme="minorHAnsi"/>
          <w:color w:val="auto"/>
          <w:lang w:val="nb-NO"/>
        </w:rPr>
        <w:t>Styret har nedsatt en kompensasjonskomité under ledelse av styrets leder. Kompensasjonskomiteen overvåker avgjørelser i saker som omhandler godtgjørelse og betingelser for ledere.</w:t>
      </w:r>
    </w:p>
    <w:p w:rsidR="00BB5FFD" w:rsidRPr="00BB5FFD" w:rsidRDefault="00BB5FFD" w:rsidP="00593F48">
      <w:pPr>
        <w:tabs>
          <w:tab w:val="clear" w:pos="6237"/>
        </w:tabs>
        <w:ind w:right="-7"/>
        <w:rPr>
          <w:rFonts w:cs="Arial"/>
          <w:szCs w:val="20"/>
          <w:lang w:val="nb-NO"/>
        </w:rPr>
      </w:pPr>
    </w:p>
    <w:p w:rsidR="00BB5FFD" w:rsidRPr="00BB5FFD" w:rsidRDefault="00BB5FFD" w:rsidP="00BB5FFD">
      <w:pPr>
        <w:tabs>
          <w:tab w:val="clear" w:pos="6237"/>
        </w:tabs>
        <w:autoSpaceDE w:val="0"/>
        <w:autoSpaceDN w:val="0"/>
        <w:adjustRightInd w:val="0"/>
        <w:spacing w:line="240" w:lineRule="auto"/>
        <w:rPr>
          <w:rFonts w:eastAsiaTheme="minorHAnsi" w:cs="Arial"/>
          <w:color w:val="auto"/>
          <w:szCs w:val="20"/>
          <w:lang w:val="nb-NO"/>
        </w:rPr>
      </w:pPr>
      <w:r w:rsidRPr="00BB5FFD">
        <w:rPr>
          <w:rFonts w:eastAsiaTheme="minorHAnsi"/>
          <w:color w:val="auto"/>
          <w:lang w:val="nb-NO"/>
        </w:rPr>
        <w:t xml:space="preserve">Konsernsjefens lønnspakke, og eventuelle justeringer av denne, blir først gjennomgått av kompensasjonskomiteen og deretter godkjent av styret. </w:t>
      </w:r>
      <w:r w:rsidRPr="00BB5FFD">
        <w:rPr>
          <w:lang w:val="nb-NO"/>
        </w:rPr>
        <w:t>Styret vurderer konsernsjefens kompensasjon hvert år.</w:t>
      </w:r>
      <w:r w:rsidRPr="00BB5FFD">
        <w:rPr>
          <w:rFonts w:eastAsiaTheme="minorHAnsi"/>
          <w:color w:val="auto"/>
          <w:lang w:val="nb-NO"/>
        </w:rPr>
        <w:t xml:space="preserve"> De andre ledernes lønnspakker, herunder justeringer av disse, avtales mellom konsernsjefen og den respektive lederen.</w:t>
      </w:r>
    </w:p>
    <w:p w:rsidR="00BB5FFD" w:rsidRPr="00BB5FFD" w:rsidRDefault="00BB5FFD" w:rsidP="00593F48">
      <w:pPr>
        <w:tabs>
          <w:tab w:val="clear" w:pos="6237"/>
        </w:tabs>
        <w:ind w:right="-7"/>
        <w:rPr>
          <w:lang w:val="nb-NO"/>
        </w:rPr>
      </w:pPr>
    </w:p>
    <w:p w:rsidR="00BB5FFD" w:rsidRPr="00B35450" w:rsidRDefault="00BB5FFD" w:rsidP="00BB5FFD">
      <w:pPr>
        <w:tabs>
          <w:tab w:val="clear" w:pos="6237"/>
        </w:tabs>
        <w:ind w:right="-7"/>
        <w:rPr>
          <w:b/>
          <w:lang w:val="nb-NO"/>
        </w:rPr>
      </w:pPr>
      <w:r w:rsidRPr="00B35450">
        <w:rPr>
          <w:b/>
          <w:lang w:val="nb-NO"/>
        </w:rPr>
        <w:t>PRINSIPPER FOR GRUNNLØNN</w:t>
      </w:r>
    </w:p>
    <w:p w:rsidR="006955AB" w:rsidRPr="006955AB" w:rsidRDefault="006955AB" w:rsidP="006955AB">
      <w:pPr>
        <w:tabs>
          <w:tab w:val="clear" w:pos="6237"/>
        </w:tabs>
        <w:autoSpaceDE w:val="0"/>
        <w:autoSpaceDN w:val="0"/>
        <w:adjustRightInd w:val="0"/>
        <w:spacing w:line="240" w:lineRule="auto"/>
        <w:rPr>
          <w:rFonts w:eastAsiaTheme="minorHAnsi" w:cs="Arial"/>
          <w:color w:val="auto"/>
          <w:szCs w:val="20"/>
          <w:lang w:val="nb-NO"/>
        </w:rPr>
      </w:pPr>
      <w:r w:rsidRPr="006955AB">
        <w:rPr>
          <w:rFonts w:eastAsiaTheme="minorHAnsi"/>
          <w:color w:val="auto"/>
          <w:lang w:val="nb-NO"/>
        </w:rPr>
        <w:t xml:space="preserve">Den faste lønnen skal gjenspeile den enkeltes ansvarsområde og innsats over tid. Kongsberg Automotive </w:t>
      </w:r>
      <w:r w:rsidR="00584649">
        <w:rPr>
          <w:rFonts w:eastAsiaTheme="minorHAnsi"/>
          <w:color w:val="auto"/>
          <w:lang w:val="nb-NO"/>
        </w:rPr>
        <w:t xml:space="preserve">(KA) </w:t>
      </w:r>
      <w:r w:rsidRPr="006955AB">
        <w:rPr>
          <w:rFonts w:eastAsiaTheme="minorHAnsi"/>
          <w:color w:val="auto"/>
          <w:lang w:val="nb-NO"/>
        </w:rPr>
        <w:t>tilbyr grunnlønn som er konkurransedyktig</w:t>
      </w:r>
      <w:r w:rsidR="007B361B">
        <w:rPr>
          <w:rFonts w:eastAsiaTheme="minorHAnsi"/>
          <w:color w:val="auto"/>
          <w:lang w:val="nb-NO"/>
        </w:rPr>
        <w:t>, men ikke markedsledende,</w:t>
      </w:r>
      <w:r w:rsidRPr="006955AB">
        <w:rPr>
          <w:rFonts w:eastAsiaTheme="minorHAnsi"/>
          <w:color w:val="auto"/>
          <w:lang w:val="nb-NO"/>
        </w:rPr>
        <w:t xml:space="preserve"> i det markedet vi opererer i. Lønnsnivåene </w:t>
      </w:r>
      <w:r w:rsidR="00642647">
        <w:rPr>
          <w:rFonts w:eastAsiaTheme="minorHAnsi"/>
          <w:color w:val="auto"/>
          <w:lang w:val="nb-NO"/>
        </w:rPr>
        <w:t xml:space="preserve">blir </w:t>
      </w:r>
      <w:r w:rsidRPr="006955AB">
        <w:rPr>
          <w:rFonts w:eastAsiaTheme="minorHAnsi"/>
          <w:color w:val="auto"/>
          <w:lang w:val="nb-NO"/>
        </w:rPr>
        <w:t xml:space="preserve">jevnlig </w:t>
      </w:r>
      <w:r w:rsidR="00642647">
        <w:rPr>
          <w:rFonts w:eastAsiaTheme="minorHAnsi"/>
          <w:color w:val="auto"/>
          <w:lang w:val="nb-NO"/>
        </w:rPr>
        <w:t xml:space="preserve">ført tilsyn med </w:t>
      </w:r>
      <w:r w:rsidRPr="006955AB">
        <w:rPr>
          <w:rFonts w:eastAsiaTheme="minorHAnsi"/>
          <w:color w:val="auto"/>
          <w:lang w:val="nb-NO"/>
        </w:rPr>
        <w:t>med utgangspunkt i lønnsstatistikker som leveres av et globalt, tredjeparts konsulentfirma innen personaltjenester og tilhørende finansielle tjenester.</w:t>
      </w:r>
    </w:p>
    <w:p w:rsidR="006955AB" w:rsidRPr="006955AB" w:rsidRDefault="006955AB" w:rsidP="00593F48">
      <w:pPr>
        <w:tabs>
          <w:tab w:val="clear" w:pos="6237"/>
        </w:tabs>
        <w:ind w:right="-7"/>
        <w:rPr>
          <w:lang w:val="nb-NO"/>
        </w:rPr>
      </w:pPr>
    </w:p>
    <w:p w:rsidR="00642647" w:rsidRPr="00296169" w:rsidRDefault="00642647" w:rsidP="00642647">
      <w:pPr>
        <w:tabs>
          <w:tab w:val="clear" w:pos="6237"/>
        </w:tabs>
        <w:ind w:right="-7"/>
        <w:rPr>
          <w:lang w:val="nb-NO"/>
        </w:rPr>
      </w:pPr>
      <w:r w:rsidRPr="00296169">
        <w:rPr>
          <w:b/>
          <w:lang w:val="nb-NO"/>
        </w:rPr>
        <w:t>VARIABEL KOMPENSASJON OG INSENTIVORDNINGER</w:t>
      </w:r>
    </w:p>
    <w:p w:rsidR="00841C0A" w:rsidRPr="00642647" w:rsidRDefault="00841C0A" w:rsidP="00841C0A">
      <w:pPr>
        <w:tabs>
          <w:tab w:val="clear" w:pos="6237"/>
        </w:tabs>
        <w:ind w:right="-7"/>
        <w:rPr>
          <w:i/>
          <w:szCs w:val="20"/>
          <w:lang w:val="nb-NO"/>
        </w:rPr>
      </w:pPr>
      <w:r w:rsidRPr="00642647">
        <w:rPr>
          <w:i/>
          <w:szCs w:val="20"/>
          <w:lang w:val="nb-NO"/>
        </w:rPr>
        <w:t>Kongsberg Automotive</w:t>
      </w:r>
      <w:r w:rsidR="00642647" w:rsidRPr="00642647">
        <w:rPr>
          <w:i/>
          <w:szCs w:val="20"/>
          <w:lang w:val="nb-NO"/>
        </w:rPr>
        <w:t>s</w:t>
      </w:r>
      <w:r w:rsidRPr="00642647">
        <w:rPr>
          <w:i/>
          <w:szCs w:val="20"/>
          <w:lang w:val="nb-NO"/>
        </w:rPr>
        <w:t xml:space="preserve"> </w:t>
      </w:r>
      <w:r w:rsidR="00642647">
        <w:rPr>
          <w:i/>
          <w:szCs w:val="20"/>
          <w:lang w:val="nb-NO"/>
        </w:rPr>
        <w:t>kortsiktig insentiv (bonusordning)</w:t>
      </w:r>
      <w:r w:rsidRPr="00642647">
        <w:rPr>
          <w:i/>
          <w:szCs w:val="20"/>
          <w:lang w:val="nb-NO"/>
        </w:rPr>
        <w:t>:</w:t>
      </w:r>
    </w:p>
    <w:p w:rsidR="002F2C5B" w:rsidRPr="002F2C5B" w:rsidRDefault="002F2C5B" w:rsidP="002F2C5B">
      <w:pPr>
        <w:tabs>
          <w:tab w:val="clear" w:pos="6237"/>
        </w:tabs>
        <w:spacing w:line="276" w:lineRule="auto"/>
        <w:ind w:right="-7"/>
        <w:rPr>
          <w:rFonts w:cs="Arial"/>
          <w:b/>
          <w:i/>
          <w:szCs w:val="20"/>
          <w:lang w:val="nb-NO"/>
        </w:rPr>
      </w:pPr>
      <w:r w:rsidRPr="002F2C5B">
        <w:rPr>
          <w:szCs w:val="20"/>
          <w:lang w:val="nb-NO"/>
        </w:rPr>
        <w:t xml:space="preserve">Den årlige bonusordningen er et kortsiktig insentiv med en tidsramme på ett år. </w:t>
      </w:r>
      <w:r>
        <w:rPr>
          <w:szCs w:val="20"/>
          <w:lang w:val="nb-NO"/>
        </w:rPr>
        <w:t>B</w:t>
      </w:r>
      <w:r w:rsidRPr="002F2C5B">
        <w:rPr>
          <w:szCs w:val="20"/>
          <w:lang w:val="nb-NO"/>
        </w:rPr>
        <w:t xml:space="preserve">onusordningen er et verdensomspennende insentivprogram som er laget for å motivere, anerkjenne og belønne berettigede </w:t>
      </w:r>
      <w:r w:rsidRPr="002F2C5B">
        <w:rPr>
          <w:szCs w:val="20"/>
          <w:lang w:val="nb-NO"/>
        </w:rPr>
        <w:lastRenderedPageBreak/>
        <w:t>ansatte for deres bidrag til å nå KAs økonomiske og forretningsmessige mål, i tillegg til personlige mål. Målene med programmet er å (i) formidle tydelig både KAs mål og de ansattes individuelle mål til KAs ansatte, (ii) formidle til KAs ansatte hvordan utbetaling av bonus er knyttet til KAs resultater og individuelle resultater, (iii) styrke KAs evne til å oppfylle eller over</w:t>
      </w:r>
      <w:r w:rsidR="00296169">
        <w:rPr>
          <w:szCs w:val="20"/>
          <w:lang w:val="nb-NO"/>
        </w:rPr>
        <w:t>oppnå</w:t>
      </w:r>
      <w:r w:rsidRPr="002F2C5B">
        <w:rPr>
          <w:szCs w:val="20"/>
          <w:lang w:val="nb-NO"/>
        </w:rPr>
        <w:t xml:space="preserve"> sine resultatmål samt å (iv) bedre KAs evne til å tiltrekke seg, beholde og motivere ansatte.</w:t>
      </w:r>
    </w:p>
    <w:p w:rsidR="00841C0A" w:rsidRPr="00B35450" w:rsidRDefault="00841C0A" w:rsidP="00841C0A">
      <w:pPr>
        <w:tabs>
          <w:tab w:val="clear" w:pos="6237"/>
        </w:tabs>
        <w:spacing w:line="276" w:lineRule="auto"/>
        <w:ind w:right="-7"/>
        <w:rPr>
          <w:rFonts w:eastAsiaTheme="minorHAnsi" w:cs="Arial"/>
          <w:color w:val="auto"/>
          <w:szCs w:val="20"/>
          <w:lang w:val="nb-NO" w:eastAsia="en-US"/>
        </w:rPr>
      </w:pPr>
    </w:p>
    <w:p w:rsidR="00296169" w:rsidRPr="00045073" w:rsidRDefault="00296169" w:rsidP="00296169">
      <w:pPr>
        <w:tabs>
          <w:tab w:val="clear" w:pos="6237"/>
        </w:tabs>
        <w:spacing w:line="276" w:lineRule="auto"/>
        <w:ind w:right="-7"/>
        <w:rPr>
          <w:rFonts w:eastAsiaTheme="minorHAnsi" w:cs="Arial"/>
          <w:color w:val="auto"/>
          <w:szCs w:val="20"/>
          <w:lang w:val="nb-NO"/>
        </w:rPr>
      </w:pPr>
      <w:r w:rsidRPr="00045073">
        <w:rPr>
          <w:szCs w:val="20"/>
          <w:lang w:val="nb-NO"/>
        </w:rPr>
        <w:t>Ledere motta</w:t>
      </w:r>
      <w:r w:rsidR="0060755B">
        <w:rPr>
          <w:szCs w:val="20"/>
          <w:lang w:val="nb-NO"/>
        </w:rPr>
        <w:t>r</w:t>
      </w:r>
      <w:r w:rsidRPr="00045073">
        <w:rPr>
          <w:szCs w:val="20"/>
          <w:lang w:val="nb-NO"/>
        </w:rPr>
        <w:t xml:space="preserve"> variabel lønn basert på</w:t>
      </w:r>
      <w:r w:rsidRPr="00045073">
        <w:rPr>
          <w:rFonts w:eastAsiaTheme="minorHAnsi"/>
          <w:color w:val="auto"/>
          <w:szCs w:val="20"/>
          <w:lang w:val="nb-NO"/>
        </w:rPr>
        <w:t xml:space="preserve"> </w:t>
      </w:r>
      <w:r w:rsidR="00045073" w:rsidRPr="00045073">
        <w:rPr>
          <w:rFonts w:eastAsiaTheme="minorHAnsi"/>
          <w:color w:val="auto"/>
          <w:szCs w:val="20"/>
          <w:lang w:val="nb-NO"/>
        </w:rPr>
        <w:t>a</w:t>
      </w:r>
      <w:r w:rsidRPr="00045073">
        <w:rPr>
          <w:rFonts w:eastAsiaTheme="minorHAnsi"/>
          <w:color w:val="auto"/>
          <w:szCs w:val="20"/>
          <w:lang w:val="nb-NO"/>
        </w:rPr>
        <w:t>vkastning på anvendt kapital</w:t>
      </w:r>
      <w:r w:rsidR="00045073" w:rsidRPr="00045073">
        <w:rPr>
          <w:rFonts w:eastAsiaTheme="minorHAnsi"/>
          <w:color w:val="auto"/>
          <w:szCs w:val="20"/>
          <w:lang w:val="nb-NO"/>
        </w:rPr>
        <w:t xml:space="preserve"> (</w:t>
      </w:r>
      <w:r w:rsidR="0060755B">
        <w:rPr>
          <w:rStyle w:val="hps"/>
          <w:szCs w:val="20"/>
          <w:lang w:val="nb-NO"/>
        </w:rPr>
        <w:t>vektet 70</w:t>
      </w:r>
      <w:r w:rsidRPr="00045073">
        <w:rPr>
          <w:rStyle w:val="hps"/>
          <w:szCs w:val="20"/>
          <w:lang w:val="nb-NO"/>
        </w:rPr>
        <w:t>%</w:t>
      </w:r>
      <w:r w:rsidRPr="00045073">
        <w:rPr>
          <w:rFonts w:eastAsiaTheme="minorHAnsi"/>
          <w:color w:val="auto"/>
          <w:szCs w:val="20"/>
          <w:lang w:val="nb-NO"/>
        </w:rPr>
        <w:t>), inntektsvekst på årsbasis (</w:t>
      </w:r>
      <w:r w:rsidRPr="00045073">
        <w:rPr>
          <w:rStyle w:val="hps"/>
          <w:szCs w:val="20"/>
          <w:lang w:val="nb-NO"/>
        </w:rPr>
        <w:t>vektet</w:t>
      </w:r>
      <w:r w:rsidR="0060755B">
        <w:rPr>
          <w:rFonts w:eastAsiaTheme="minorHAnsi"/>
          <w:color w:val="auto"/>
          <w:szCs w:val="20"/>
          <w:lang w:val="nb-NO"/>
        </w:rPr>
        <w:t xml:space="preserve"> 10</w:t>
      </w:r>
      <w:r w:rsidRPr="00045073">
        <w:rPr>
          <w:rFonts w:eastAsiaTheme="minorHAnsi"/>
          <w:color w:val="auto"/>
          <w:szCs w:val="20"/>
          <w:lang w:val="nb-NO"/>
        </w:rPr>
        <w:t xml:space="preserve">%), </w:t>
      </w:r>
      <w:r w:rsidR="00045073" w:rsidRPr="00045073">
        <w:rPr>
          <w:rFonts w:eastAsiaTheme="minorHAnsi"/>
          <w:color w:val="auto"/>
          <w:szCs w:val="20"/>
          <w:lang w:val="nb-NO"/>
        </w:rPr>
        <w:t>nye ordre</w:t>
      </w:r>
      <w:r w:rsidRPr="00045073">
        <w:rPr>
          <w:rFonts w:eastAsiaTheme="minorHAnsi"/>
          <w:color w:val="auto"/>
          <w:szCs w:val="20"/>
          <w:lang w:val="nb-NO"/>
        </w:rPr>
        <w:t xml:space="preserve"> (</w:t>
      </w:r>
      <w:r w:rsidRPr="00045073">
        <w:rPr>
          <w:rStyle w:val="hps"/>
          <w:szCs w:val="20"/>
          <w:lang w:val="nb-NO"/>
        </w:rPr>
        <w:t>vektet</w:t>
      </w:r>
      <w:r w:rsidR="0060755B">
        <w:rPr>
          <w:rFonts w:eastAsiaTheme="minorHAnsi"/>
          <w:color w:val="auto"/>
          <w:szCs w:val="20"/>
          <w:lang w:val="nb-NO"/>
        </w:rPr>
        <w:t xml:space="preserve"> 10</w:t>
      </w:r>
      <w:r w:rsidRPr="00045073">
        <w:rPr>
          <w:rFonts w:eastAsiaTheme="minorHAnsi"/>
          <w:color w:val="auto"/>
          <w:szCs w:val="20"/>
          <w:lang w:val="nb-NO"/>
        </w:rPr>
        <w:t xml:space="preserve">%) samt </w:t>
      </w:r>
      <w:r w:rsidR="00045073" w:rsidRPr="00045073">
        <w:rPr>
          <w:rFonts w:eastAsiaTheme="minorHAnsi"/>
          <w:color w:val="auto"/>
          <w:szCs w:val="20"/>
          <w:lang w:val="nb-NO"/>
        </w:rPr>
        <w:t>virksomhetens resultater</w:t>
      </w:r>
      <w:r w:rsidRPr="00045073">
        <w:rPr>
          <w:rFonts w:eastAsiaTheme="minorHAnsi"/>
          <w:color w:val="auto"/>
          <w:szCs w:val="20"/>
          <w:lang w:val="nb-NO"/>
        </w:rPr>
        <w:t xml:space="preserve"> (</w:t>
      </w:r>
      <w:r w:rsidR="00045073" w:rsidRPr="00045073">
        <w:rPr>
          <w:rFonts w:eastAsiaTheme="minorHAnsi"/>
          <w:color w:val="auto"/>
          <w:szCs w:val="20"/>
          <w:lang w:val="nb-NO"/>
        </w:rPr>
        <w:t xml:space="preserve">vektet </w:t>
      </w:r>
      <w:r w:rsidR="0060755B">
        <w:rPr>
          <w:rFonts w:eastAsiaTheme="minorHAnsi"/>
          <w:color w:val="auto"/>
          <w:szCs w:val="20"/>
          <w:lang w:val="nb-NO"/>
        </w:rPr>
        <w:t>10</w:t>
      </w:r>
      <w:r w:rsidR="00045073">
        <w:rPr>
          <w:rFonts w:eastAsiaTheme="minorHAnsi"/>
          <w:color w:val="auto"/>
          <w:szCs w:val="20"/>
          <w:lang w:val="nb-NO"/>
        </w:rPr>
        <w:t xml:space="preserve">%). </w:t>
      </w:r>
      <w:r w:rsidRPr="00045073">
        <w:rPr>
          <w:rFonts w:eastAsiaTheme="minorHAnsi"/>
          <w:color w:val="auto"/>
          <w:szCs w:val="20"/>
          <w:lang w:val="nb-NO"/>
        </w:rPr>
        <w:t>Virksomhetens resultater er forretningsmål for en enhet eller en enkeltperson. Forretningsmålene kan r</w:t>
      </w:r>
      <w:r w:rsidR="005C2097">
        <w:rPr>
          <w:rFonts w:eastAsiaTheme="minorHAnsi"/>
          <w:color w:val="auto"/>
          <w:szCs w:val="20"/>
          <w:lang w:val="nb-NO"/>
        </w:rPr>
        <w:t>eflektere definerte nøkkeltall</w:t>
      </w:r>
      <w:r w:rsidRPr="00045073">
        <w:rPr>
          <w:rFonts w:eastAsiaTheme="minorHAnsi"/>
          <w:color w:val="auto"/>
          <w:szCs w:val="20"/>
          <w:lang w:val="nb-NO"/>
        </w:rPr>
        <w:t xml:space="preserve"> relatert til kvalitetssikring, HMS, samfunnsansvar, økonomiske resultater og så videre. </w:t>
      </w:r>
      <w:r w:rsidR="005C2097">
        <w:rPr>
          <w:rFonts w:eastAsiaTheme="minorHAnsi"/>
          <w:color w:val="auto"/>
          <w:szCs w:val="20"/>
          <w:lang w:val="nb-NO"/>
        </w:rPr>
        <w:t>A</w:t>
      </w:r>
      <w:r w:rsidR="005C2097" w:rsidRPr="00045073">
        <w:rPr>
          <w:rFonts w:eastAsiaTheme="minorHAnsi"/>
          <w:color w:val="auto"/>
          <w:szCs w:val="20"/>
          <w:lang w:val="nb-NO"/>
        </w:rPr>
        <w:t>vkastning på anvendt kapital</w:t>
      </w:r>
      <w:r w:rsidR="005C2097">
        <w:rPr>
          <w:rFonts w:eastAsiaTheme="minorHAnsi"/>
          <w:color w:val="auto"/>
          <w:szCs w:val="20"/>
          <w:lang w:val="nb-NO"/>
        </w:rPr>
        <w:t xml:space="preserve">, inntektsvekst på årsbasis og </w:t>
      </w:r>
      <w:r w:rsidR="005C2097" w:rsidRPr="00045073">
        <w:rPr>
          <w:rFonts w:eastAsiaTheme="minorHAnsi"/>
          <w:color w:val="auto"/>
          <w:szCs w:val="20"/>
          <w:lang w:val="nb-NO"/>
        </w:rPr>
        <w:t>nye ordre</w:t>
      </w:r>
      <w:r w:rsidR="005C2097">
        <w:rPr>
          <w:rFonts w:eastAsiaTheme="minorHAnsi"/>
          <w:color w:val="auto"/>
          <w:szCs w:val="20"/>
          <w:lang w:val="nb-NO"/>
        </w:rPr>
        <w:t xml:space="preserve"> måles både på konsern- og divisjons</w:t>
      </w:r>
      <w:r w:rsidRPr="00045073">
        <w:rPr>
          <w:rFonts w:eastAsiaTheme="minorHAnsi"/>
          <w:color w:val="auto"/>
          <w:szCs w:val="20"/>
          <w:lang w:val="nb-NO"/>
        </w:rPr>
        <w:t>nivå.</w:t>
      </w:r>
    </w:p>
    <w:p w:rsidR="00296169" w:rsidRPr="00296169" w:rsidRDefault="00296169" w:rsidP="00841C0A">
      <w:pPr>
        <w:tabs>
          <w:tab w:val="clear" w:pos="6237"/>
        </w:tabs>
        <w:spacing w:line="276" w:lineRule="auto"/>
        <w:ind w:right="-7"/>
        <w:rPr>
          <w:rFonts w:eastAsiaTheme="minorHAnsi" w:cs="Arial"/>
          <w:b/>
          <w:color w:val="auto"/>
          <w:szCs w:val="20"/>
          <w:lang w:val="nb-NO" w:eastAsia="en-US"/>
        </w:rPr>
      </w:pPr>
    </w:p>
    <w:p w:rsidR="005C2097" w:rsidRPr="005C2097" w:rsidRDefault="005C2097" w:rsidP="005C2097">
      <w:pPr>
        <w:tabs>
          <w:tab w:val="clear" w:pos="6237"/>
        </w:tabs>
        <w:spacing w:line="276" w:lineRule="auto"/>
        <w:ind w:right="-7"/>
        <w:rPr>
          <w:rFonts w:eastAsiaTheme="minorHAnsi" w:cs="Arial"/>
          <w:color w:val="auto"/>
          <w:szCs w:val="20"/>
          <w:lang w:val="nb-NO"/>
        </w:rPr>
      </w:pPr>
      <w:r w:rsidRPr="005C2097">
        <w:rPr>
          <w:rFonts w:eastAsiaTheme="minorHAnsi"/>
          <w:color w:val="auto"/>
          <w:szCs w:val="20"/>
          <w:lang w:val="nb-NO"/>
        </w:rPr>
        <w:t>M</w:t>
      </w:r>
      <w:r w:rsidR="0060755B">
        <w:rPr>
          <w:rFonts w:eastAsiaTheme="minorHAnsi"/>
          <w:color w:val="auto"/>
          <w:szCs w:val="20"/>
          <w:lang w:val="nb-NO"/>
        </w:rPr>
        <w:t>ålbonus for konsernsjefen er 50</w:t>
      </w:r>
      <w:r w:rsidRPr="005C2097">
        <w:rPr>
          <w:rFonts w:eastAsiaTheme="minorHAnsi"/>
          <w:color w:val="auto"/>
          <w:szCs w:val="20"/>
          <w:lang w:val="nb-NO"/>
        </w:rPr>
        <w:t xml:space="preserve">% av brutto </w:t>
      </w:r>
      <w:r w:rsidR="0060755B">
        <w:rPr>
          <w:rFonts w:eastAsiaTheme="minorHAnsi"/>
          <w:color w:val="auto"/>
          <w:szCs w:val="20"/>
          <w:lang w:val="nb-NO"/>
        </w:rPr>
        <w:t>grunnlønn. Maksimal bonus er 77</w:t>
      </w:r>
      <w:r w:rsidRPr="005C2097">
        <w:rPr>
          <w:rFonts w:eastAsiaTheme="minorHAnsi"/>
          <w:color w:val="auto"/>
          <w:szCs w:val="20"/>
          <w:lang w:val="nb-NO"/>
        </w:rPr>
        <w:t>% av brutto grunnlønn. Gjennomsnittlig bonus for kons</w:t>
      </w:r>
      <w:r w:rsidR="0060755B">
        <w:rPr>
          <w:rFonts w:eastAsiaTheme="minorHAnsi"/>
          <w:color w:val="auto"/>
          <w:szCs w:val="20"/>
          <w:lang w:val="nb-NO"/>
        </w:rPr>
        <w:t>ernsjefen de siste fem år er 30</w:t>
      </w:r>
      <w:r w:rsidRPr="005C2097">
        <w:rPr>
          <w:rFonts w:eastAsiaTheme="minorHAnsi"/>
          <w:color w:val="auto"/>
          <w:szCs w:val="20"/>
          <w:lang w:val="nb-NO"/>
        </w:rPr>
        <w:t>% av brutto grunnlønn.</w:t>
      </w:r>
    </w:p>
    <w:p w:rsidR="005C2097" w:rsidRPr="00B35450" w:rsidRDefault="005C2097" w:rsidP="00841C0A">
      <w:pPr>
        <w:tabs>
          <w:tab w:val="clear" w:pos="6237"/>
        </w:tabs>
        <w:spacing w:line="276" w:lineRule="auto"/>
        <w:ind w:right="-7"/>
        <w:rPr>
          <w:rFonts w:eastAsiaTheme="minorHAnsi" w:cs="Arial"/>
          <w:b/>
          <w:color w:val="auto"/>
          <w:szCs w:val="20"/>
          <w:lang w:val="nb-NO" w:eastAsia="en-US"/>
        </w:rPr>
      </w:pPr>
    </w:p>
    <w:p w:rsidR="005C2097" w:rsidRPr="005C2097" w:rsidRDefault="005C2097" w:rsidP="00593F48">
      <w:pPr>
        <w:tabs>
          <w:tab w:val="clear" w:pos="6237"/>
        </w:tabs>
        <w:ind w:right="-7"/>
        <w:rPr>
          <w:szCs w:val="20"/>
          <w:lang w:val="nb-NO"/>
        </w:rPr>
      </w:pPr>
      <w:r w:rsidRPr="005C2097">
        <w:rPr>
          <w:rFonts w:eastAsiaTheme="minorHAnsi"/>
          <w:color w:val="auto"/>
          <w:szCs w:val="20"/>
          <w:lang w:val="nb-NO"/>
        </w:rPr>
        <w:t>Styrelederen forslår resultatmål for konsernsjefen og konsernet. De godkjennes av styret. Målene for de andre topplederne bestemme</w:t>
      </w:r>
      <w:r>
        <w:rPr>
          <w:rFonts w:eastAsiaTheme="minorHAnsi"/>
          <w:color w:val="auto"/>
          <w:szCs w:val="20"/>
          <w:lang w:val="nb-NO"/>
        </w:rPr>
        <w:t>s av konsernsjefen og gjennomgås</w:t>
      </w:r>
      <w:r w:rsidRPr="005C2097">
        <w:rPr>
          <w:rFonts w:eastAsiaTheme="minorHAnsi"/>
          <w:color w:val="auto"/>
          <w:szCs w:val="20"/>
          <w:lang w:val="nb-NO"/>
        </w:rPr>
        <w:t xml:space="preserve"> av kompensasjonskomitéen.</w:t>
      </w:r>
    </w:p>
    <w:p w:rsidR="00841C0A" w:rsidRPr="00642647" w:rsidRDefault="00841C0A" w:rsidP="00841C0A">
      <w:pPr>
        <w:tabs>
          <w:tab w:val="clear" w:pos="6237"/>
        </w:tabs>
        <w:ind w:right="-7"/>
        <w:rPr>
          <w:i/>
          <w:szCs w:val="20"/>
          <w:lang w:val="nb-NO"/>
        </w:rPr>
      </w:pPr>
      <w:r w:rsidRPr="00642647">
        <w:rPr>
          <w:i/>
          <w:szCs w:val="20"/>
          <w:lang w:val="nb-NO"/>
        </w:rPr>
        <w:t xml:space="preserve">Kongsberg Automotives </w:t>
      </w:r>
      <w:r w:rsidR="00642647">
        <w:rPr>
          <w:i/>
          <w:szCs w:val="20"/>
          <w:lang w:val="nb-NO"/>
        </w:rPr>
        <w:t>langsiktige insentiv (aksjeopsjonsprogram)</w:t>
      </w:r>
      <w:r w:rsidRPr="00642647">
        <w:rPr>
          <w:i/>
          <w:szCs w:val="20"/>
          <w:lang w:val="nb-NO"/>
        </w:rPr>
        <w:t>:</w:t>
      </w:r>
    </w:p>
    <w:p w:rsidR="005B587D" w:rsidRPr="005B587D" w:rsidRDefault="005B587D" w:rsidP="005B587D">
      <w:pPr>
        <w:tabs>
          <w:tab w:val="clear" w:pos="6237"/>
        </w:tabs>
        <w:spacing w:line="276" w:lineRule="auto"/>
        <w:ind w:right="-7"/>
        <w:rPr>
          <w:szCs w:val="20"/>
          <w:lang w:val="nb-NO"/>
        </w:rPr>
      </w:pPr>
      <w:r w:rsidRPr="005B587D">
        <w:rPr>
          <w:szCs w:val="20"/>
          <w:lang w:val="nb-NO"/>
        </w:rPr>
        <w:t xml:space="preserve">Styret har opprettet </w:t>
      </w:r>
      <w:r>
        <w:rPr>
          <w:szCs w:val="20"/>
          <w:lang w:val="nb-NO"/>
        </w:rPr>
        <w:t>aksje</w:t>
      </w:r>
      <w:r w:rsidRPr="005B587D">
        <w:rPr>
          <w:szCs w:val="20"/>
          <w:lang w:val="nb-NO"/>
        </w:rPr>
        <w:t>opsjonsprogrammer for ledende ansatte som er godkjent av aksjonærene på de</w:t>
      </w:r>
      <w:r>
        <w:rPr>
          <w:szCs w:val="20"/>
          <w:lang w:val="nb-NO"/>
        </w:rPr>
        <w:t xml:space="preserve">n ordinære generalforsamlingen. </w:t>
      </w:r>
      <w:r w:rsidRPr="005B587D">
        <w:rPr>
          <w:szCs w:val="20"/>
          <w:lang w:val="nb-NO"/>
        </w:rPr>
        <w:t xml:space="preserve">Selskapets vurdering er at det er positivt for den langsiktige </w:t>
      </w:r>
      <w:r w:rsidRPr="005B587D">
        <w:rPr>
          <w:szCs w:val="20"/>
          <w:lang w:val="nb-NO"/>
        </w:rPr>
        <w:lastRenderedPageBreak/>
        <w:t>verdiskapingen i konsernet at ledende ansatte eier aksjer og opsjoner i Kongsberg Automotive.</w:t>
      </w:r>
    </w:p>
    <w:p w:rsidR="005B587D" w:rsidRDefault="005B587D" w:rsidP="00841C0A">
      <w:pPr>
        <w:tabs>
          <w:tab w:val="clear" w:pos="6237"/>
        </w:tabs>
        <w:spacing w:line="276" w:lineRule="auto"/>
        <w:ind w:right="-7"/>
        <w:rPr>
          <w:szCs w:val="20"/>
          <w:lang w:val="nb-NO"/>
        </w:rPr>
      </w:pPr>
    </w:p>
    <w:p w:rsidR="005B587D" w:rsidRPr="005B587D" w:rsidRDefault="005B587D" w:rsidP="005B587D">
      <w:pPr>
        <w:tabs>
          <w:tab w:val="clear" w:pos="6237"/>
        </w:tabs>
        <w:spacing w:line="276" w:lineRule="auto"/>
        <w:ind w:right="-7"/>
        <w:rPr>
          <w:szCs w:val="20"/>
          <w:lang w:val="nb-NO"/>
        </w:rPr>
      </w:pPr>
      <w:r w:rsidRPr="005B587D">
        <w:rPr>
          <w:szCs w:val="20"/>
          <w:lang w:val="nb-NO"/>
        </w:rPr>
        <w:t>Hensikten med denne planen er (i) å tiltrekke seg og beholde medarbeidere hvis tjenester er viktige for at selskapet skal lykkes, (ii) motivere slike medarbeidere til å nå selskapets langsiktige mål, (iii) gi muligheter for insentivkompensasjon til slike medarbeidere som kan konkurrere med det andre selskaper tilbyr, og (iv) oppmuntre slike medarbeidere til å eie ordinære aksjer i morselskapet og dermed dele en felles økonomisk interesse med de andre aksjonærene i selskapet.</w:t>
      </w:r>
    </w:p>
    <w:p w:rsidR="005B587D" w:rsidRPr="005B587D" w:rsidRDefault="005B587D" w:rsidP="00841C0A">
      <w:pPr>
        <w:tabs>
          <w:tab w:val="clear" w:pos="6237"/>
        </w:tabs>
        <w:spacing w:line="276" w:lineRule="auto"/>
        <w:ind w:right="-7"/>
        <w:rPr>
          <w:szCs w:val="20"/>
          <w:lang w:val="nb-NO"/>
        </w:rPr>
      </w:pPr>
    </w:p>
    <w:p w:rsidR="007E2B96" w:rsidRDefault="00AC01DF" w:rsidP="00593F48">
      <w:pPr>
        <w:tabs>
          <w:tab w:val="clear" w:pos="6237"/>
        </w:tabs>
        <w:ind w:right="-7"/>
        <w:rPr>
          <w:szCs w:val="20"/>
          <w:lang w:val="nb-NO"/>
        </w:rPr>
      </w:pPr>
      <w:r w:rsidRPr="00AC01DF">
        <w:rPr>
          <w:szCs w:val="20"/>
          <w:lang w:val="nb-NO"/>
        </w:rPr>
        <w:t xml:space="preserve">Styret kan tilby opsjoner til ledende ansatte når aksjonærene har gitt fullmakt til å iverksette </w:t>
      </w:r>
      <w:r>
        <w:rPr>
          <w:szCs w:val="20"/>
          <w:lang w:val="nb-NO"/>
        </w:rPr>
        <w:t>aksje</w:t>
      </w:r>
      <w:r w:rsidR="007E2B96">
        <w:rPr>
          <w:szCs w:val="20"/>
          <w:lang w:val="nb-NO"/>
        </w:rPr>
        <w:t>opsjonsprogrammer:</w:t>
      </w:r>
    </w:p>
    <w:p w:rsidR="007E2B96" w:rsidRPr="007E2B96" w:rsidRDefault="00AC01DF" w:rsidP="007E2B96">
      <w:pPr>
        <w:pStyle w:val="ListParagraph"/>
        <w:numPr>
          <w:ilvl w:val="0"/>
          <w:numId w:val="15"/>
        </w:numPr>
        <w:tabs>
          <w:tab w:val="clear" w:pos="6237"/>
        </w:tabs>
        <w:ind w:right="-7"/>
        <w:rPr>
          <w:b/>
          <w:szCs w:val="20"/>
          <w:lang w:val="nb-NO"/>
        </w:rPr>
      </w:pPr>
      <w:r w:rsidRPr="007E2B96">
        <w:rPr>
          <w:szCs w:val="20"/>
          <w:lang w:val="nb-NO"/>
        </w:rPr>
        <w:t>Innløsningskursen for opsjonene skal være gjennomsnittskursen på KOA-aksjen i de 10 første dagene etter at resultatet for 4. kvartal er lagt frem.</w:t>
      </w:r>
    </w:p>
    <w:p w:rsidR="007E2B96" w:rsidRPr="007E2B96" w:rsidRDefault="0060755B" w:rsidP="007E2B96">
      <w:pPr>
        <w:pStyle w:val="ListParagraph"/>
        <w:numPr>
          <w:ilvl w:val="0"/>
          <w:numId w:val="15"/>
        </w:numPr>
        <w:tabs>
          <w:tab w:val="clear" w:pos="6237"/>
        </w:tabs>
        <w:ind w:right="-7"/>
        <w:rPr>
          <w:b/>
          <w:szCs w:val="20"/>
          <w:lang w:val="nb-NO"/>
        </w:rPr>
      </w:pPr>
      <w:r>
        <w:rPr>
          <w:szCs w:val="20"/>
          <w:lang w:val="nb-NO"/>
        </w:rPr>
        <w:t>O</w:t>
      </w:r>
      <w:r w:rsidR="00AC01DF" w:rsidRPr="007E2B96">
        <w:rPr>
          <w:szCs w:val="20"/>
          <w:lang w:val="nb-NO"/>
        </w:rPr>
        <w:t xml:space="preserve">psjonene kan innløses tidligst etter </w:t>
      </w:r>
      <w:r>
        <w:rPr>
          <w:szCs w:val="20"/>
          <w:lang w:val="nb-NO"/>
        </w:rPr>
        <w:t>tre</w:t>
      </w:r>
      <w:r w:rsidR="00AC01DF" w:rsidRPr="007E2B96">
        <w:rPr>
          <w:szCs w:val="20"/>
          <w:lang w:val="nb-NO"/>
        </w:rPr>
        <w:t xml:space="preserve"> år. Innløsningsperio</w:t>
      </w:r>
      <w:r w:rsidR="007E2B96">
        <w:rPr>
          <w:szCs w:val="20"/>
          <w:lang w:val="nb-NO"/>
        </w:rPr>
        <w:t xml:space="preserve">den skal vanligvis være </w:t>
      </w:r>
      <w:r>
        <w:rPr>
          <w:szCs w:val="20"/>
          <w:lang w:val="nb-NO"/>
        </w:rPr>
        <w:t>fire</w:t>
      </w:r>
      <w:r w:rsidR="007E2B96">
        <w:rPr>
          <w:szCs w:val="20"/>
          <w:lang w:val="nb-NO"/>
        </w:rPr>
        <w:t xml:space="preserve"> år.</w:t>
      </w:r>
    </w:p>
    <w:p w:rsidR="007E2B96" w:rsidRPr="006C7A9D" w:rsidRDefault="007E2B96" w:rsidP="007E2B96">
      <w:pPr>
        <w:numPr>
          <w:ilvl w:val="0"/>
          <w:numId w:val="16"/>
        </w:numPr>
        <w:tabs>
          <w:tab w:val="clear" w:pos="6237"/>
        </w:tabs>
        <w:overflowPunct w:val="0"/>
        <w:autoSpaceDE w:val="0"/>
        <w:autoSpaceDN w:val="0"/>
        <w:adjustRightInd w:val="0"/>
        <w:spacing w:line="240" w:lineRule="auto"/>
        <w:ind w:left="714" w:hanging="357"/>
        <w:textAlignment w:val="baseline"/>
        <w:rPr>
          <w:rFonts w:cs="Arial"/>
          <w:szCs w:val="20"/>
          <w:lang w:val="nb-NO"/>
        </w:rPr>
      </w:pPr>
      <w:r>
        <w:rPr>
          <w:lang w:val="nb-NO"/>
        </w:rPr>
        <w:t>Minimum fortjeneste per aksjeopsjon for å kunne innløse opsjonen er NOK 1,-.</w:t>
      </w:r>
    </w:p>
    <w:p w:rsidR="007E2B96" w:rsidRPr="00FA4BDA" w:rsidRDefault="007E2B96" w:rsidP="007E2B96">
      <w:pPr>
        <w:pStyle w:val="ListParagraph"/>
        <w:numPr>
          <w:ilvl w:val="0"/>
          <w:numId w:val="15"/>
        </w:numPr>
        <w:tabs>
          <w:tab w:val="clear" w:pos="6237"/>
        </w:tabs>
        <w:ind w:left="714" w:right="-7" w:hanging="357"/>
        <w:rPr>
          <w:b/>
          <w:szCs w:val="20"/>
          <w:lang w:val="nb-NO"/>
        </w:rPr>
      </w:pPr>
      <w:r w:rsidRPr="00FA4BDA">
        <w:rPr>
          <w:szCs w:val="20"/>
          <w:lang w:val="nb-NO"/>
        </w:rPr>
        <w:t>Fortjeneste fra innløsning av opsjoner i et</w:t>
      </w:r>
      <w:r w:rsidR="00C3264C" w:rsidRPr="00FA4BDA">
        <w:rPr>
          <w:szCs w:val="20"/>
          <w:lang w:val="nb-NO"/>
        </w:rPr>
        <w:t>t</w:t>
      </w:r>
      <w:r w:rsidRPr="00FA4BDA">
        <w:rPr>
          <w:szCs w:val="20"/>
          <w:lang w:val="nb-NO"/>
        </w:rPr>
        <w:t xml:space="preserve"> kalenderår skal ikke overstige </w:t>
      </w:r>
      <w:r w:rsidR="0060755B" w:rsidRPr="00FA4BDA">
        <w:rPr>
          <w:szCs w:val="20"/>
          <w:lang w:val="nb-NO"/>
        </w:rPr>
        <w:t xml:space="preserve">treganger </w:t>
      </w:r>
      <w:r w:rsidRPr="00FA4BDA">
        <w:rPr>
          <w:szCs w:val="20"/>
          <w:lang w:val="nb-NO"/>
        </w:rPr>
        <w:t>medarbeiderens grunnlønn</w:t>
      </w:r>
      <w:r w:rsidR="00FA4BDA" w:rsidRPr="00FA4BDA">
        <w:rPr>
          <w:szCs w:val="20"/>
          <w:lang w:val="nb-NO"/>
        </w:rPr>
        <w:t>.</w:t>
      </w:r>
    </w:p>
    <w:p w:rsidR="007E2B96" w:rsidRPr="007E2B96" w:rsidRDefault="00AC01DF" w:rsidP="007E2B96">
      <w:pPr>
        <w:pStyle w:val="ListParagraph"/>
        <w:numPr>
          <w:ilvl w:val="0"/>
          <w:numId w:val="15"/>
        </w:numPr>
        <w:tabs>
          <w:tab w:val="clear" w:pos="6237"/>
        </w:tabs>
        <w:ind w:left="714" w:right="-7" w:hanging="357"/>
        <w:rPr>
          <w:b/>
          <w:szCs w:val="20"/>
          <w:lang w:val="nb-NO"/>
        </w:rPr>
      </w:pPr>
      <w:r w:rsidRPr="007E2B96">
        <w:rPr>
          <w:szCs w:val="20"/>
          <w:lang w:val="nb-NO"/>
        </w:rPr>
        <w:t>Medarbeideren må til enhver tid eie et antall KO</w:t>
      </w:r>
      <w:r w:rsidR="0060755B">
        <w:rPr>
          <w:szCs w:val="20"/>
          <w:lang w:val="nb-NO"/>
        </w:rPr>
        <w:t>A-aksjer som minst tilsvarer 10</w:t>
      </w:r>
      <w:r w:rsidRPr="007E2B96">
        <w:rPr>
          <w:szCs w:val="20"/>
          <w:lang w:val="nb-NO"/>
        </w:rPr>
        <w:t>% av antall ops</w:t>
      </w:r>
      <w:r w:rsidR="007E2B96">
        <w:rPr>
          <w:szCs w:val="20"/>
          <w:lang w:val="nb-NO"/>
        </w:rPr>
        <w:t>joner, for å kunne få opsjoner.</w:t>
      </w:r>
    </w:p>
    <w:p w:rsidR="00AC01DF" w:rsidRPr="007E2B96" w:rsidRDefault="00AC01DF" w:rsidP="007E2B96">
      <w:pPr>
        <w:pStyle w:val="ListParagraph"/>
        <w:numPr>
          <w:ilvl w:val="0"/>
          <w:numId w:val="15"/>
        </w:numPr>
        <w:tabs>
          <w:tab w:val="clear" w:pos="6237"/>
        </w:tabs>
        <w:ind w:left="714" w:right="-7" w:hanging="357"/>
        <w:rPr>
          <w:b/>
          <w:szCs w:val="20"/>
          <w:lang w:val="nb-NO"/>
        </w:rPr>
      </w:pPr>
      <w:r w:rsidRPr="007E2B96">
        <w:rPr>
          <w:szCs w:val="20"/>
          <w:lang w:val="nb-NO"/>
        </w:rPr>
        <w:t>Dersom en medarbeider forlater selskapet, vil opsjoner som ikke kunne innløses på sluttidspunktet, i prinsippet være tapt.</w:t>
      </w:r>
    </w:p>
    <w:p w:rsidR="00AC01DF" w:rsidRPr="00AC01DF" w:rsidRDefault="00AC01DF" w:rsidP="00593F48">
      <w:pPr>
        <w:tabs>
          <w:tab w:val="clear" w:pos="6237"/>
        </w:tabs>
        <w:ind w:right="-7"/>
        <w:rPr>
          <w:b/>
          <w:lang w:val="nb-NO"/>
        </w:rPr>
      </w:pPr>
    </w:p>
    <w:p w:rsidR="00AC01DF" w:rsidRPr="00B35450" w:rsidRDefault="00AC01DF" w:rsidP="00AC01DF">
      <w:pPr>
        <w:tabs>
          <w:tab w:val="clear" w:pos="6237"/>
        </w:tabs>
        <w:ind w:right="-7"/>
        <w:rPr>
          <w:b/>
          <w:lang w:val="nb-NO"/>
        </w:rPr>
      </w:pPr>
      <w:r w:rsidRPr="00B35450">
        <w:rPr>
          <w:b/>
          <w:lang w:val="nb-NO"/>
        </w:rPr>
        <w:t>PRINSIPPER FOR YTELSER</w:t>
      </w:r>
    </w:p>
    <w:p w:rsidR="00670ADE" w:rsidRPr="00670ADE" w:rsidRDefault="00670ADE" w:rsidP="00670ADE">
      <w:pPr>
        <w:tabs>
          <w:tab w:val="clear" w:pos="6237"/>
        </w:tabs>
        <w:autoSpaceDE w:val="0"/>
        <w:autoSpaceDN w:val="0"/>
        <w:adjustRightInd w:val="0"/>
        <w:spacing w:line="240" w:lineRule="auto"/>
        <w:rPr>
          <w:rFonts w:eastAsiaTheme="minorHAnsi" w:cs="Arial"/>
          <w:color w:val="auto"/>
          <w:szCs w:val="20"/>
          <w:lang w:val="nb-NO"/>
        </w:rPr>
      </w:pPr>
      <w:r w:rsidRPr="00670ADE">
        <w:rPr>
          <w:rFonts w:eastAsiaTheme="minorHAnsi"/>
          <w:color w:val="auto"/>
          <w:lang w:val="nb-NO"/>
        </w:rPr>
        <w:t xml:space="preserve">I tillegg til fast og variabel lønn kan det gis ytelser som for eksempel helseforsikring, avis, Internett og telefon. Den totale verdien av disse </w:t>
      </w:r>
      <w:r w:rsidRPr="00670ADE">
        <w:rPr>
          <w:rFonts w:eastAsiaTheme="minorHAnsi"/>
          <w:color w:val="auto"/>
          <w:lang w:val="nb-NO"/>
        </w:rPr>
        <w:lastRenderedPageBreak/>
        <w:t>ytelsene skal være beskjeden og kun utgjøre en begrenset del av den totale lønnspakken.</w:t>
      </w:r>
    </w:p>
    <w:p w:rsidR="00670ADE" w:rsidRPr="00670ADE" w:rsidRDefault="00670ADE" w:rsidP="00670ADE">
      <w:pPr>
        <w:tabs>
          <w:tab w:val="clear" w:pos="6237"/>
        </w:tabs>
        <w:autoSpaceDE w:val="0"/>
        <w:autoSpaceDN w:val="0"/>
        <w:adjustRightInd w:val="0"/>
        <w:spacing w:line="240" w:lineRule="auto"/>
        <w:rPr>
          <w:rFonts w:eastAsiaTheme="minorHAnsi" w:cs="Arial"/>
          <w:color w:val="auto"/>
          <w:szCs w:val="20"/>
          <w:lang w:val="nb-NO"/>
        </w:rPr>
      </w:pPr>
    </w:p>
    <w:p w:rsidR="00670ADE" w:rsidRPr="00670ADE" w:rsidRDefault="00670ADE" w:rsidP="00670ADE">
      <w:pPr>
        <w:tabs>
          <w:tab w:val="clear" w:pos="6237"/>
        </w:tabs>
        <w:ind w:right="-7"/>
        <w:rPr>
          <w:rFonts w:cs="Arial"/>
          <w:szCs w:val="20"/>
          <w:lang w:val="nb-NO"/>
        </w:rPr>
      </w:pPr>
      <w:r w:rsidRPr="00670ADE">
        <w:rPr>
          <w:rFonts w:eastAsiaTheme="minorHAnsi"/>
          <w:color w:val="auto"/>
          <w:lang w:val="nb-NO"/>
        </w:rPr>
        <w:t>Prinsipper for firmabil og bilgodtgjørelse skal kunne variere i henhold til lokale forhold.</w:t>
      </w:r>
    </w:p>
    <w:p w:rsidR="00670ADE" w:rsidRPr="00670ADE" w:rsidRDefault="00670ADE" w:rsidP="00593F48">
      <w:pPr>
        <w:tabs>
          <w:tab w:val="clear" w:pos="6237"/>
        </w:tabs>
        <w:ind w:right="-7"/>
        <w:rPr>
          <w:highlight w:val="green"/>
          <w:lang w:val="nb-NO"/>
        </w:rPr>
      </w:pPr>
    </w:p>
    <w:p w:rsidR="00670ADE" w:rsidRPr="00670ADE" w:rsidRDefault="00670ADE" w:rsidP="00670ADE">
      <w:pPr>
        <w:tabs>
          <w:tab w:val="clear" w:pos="6237"/>
        </w:tabs>
        <w:ind w:right="-7"/>
        <w:rPr>
          <w:i/>
          <w:lang w:val="nb-NO"/>
        </w:rPr>
      </w:pPr>
      <w:r w:rsidRPr="00670ADE">
        <w:rPr>
          <w:i/>
          <w:lang w:val="nb-NO"/>
        </w:rPr>
        <w:t>Pensjon:</w:t>
      </w:r>
    </w:p>
    <w:p w:rsidR="00670ADE" w:rsidRPr="00670ADE" w:rsidRDefault="002C4830" w:rsidP="00670ADE">
      <w:pPr>
        <w:tabs>
          <w:tab w:val="clear" w:pos="6237"/>
        </w:tabs>
        <w:autoSpaceDE w:val="0"/>
        <w:autoSpaceDN w:val="0"/>
        <w:adjustRightInd w:val="0"/>
        <w:spacing w:line="240" w:lineRule="auto"/>
        <w:rPr>
          <w:rFonts w:cs="Arial"/>
          <w:szCs w:val="20"/>
          <w:lang w:val="nb-NO"/>
        </w:rPr>
      </w:pPr>
      <w:r>
        <w:rPr>
          <w:rFonts w:eastAsiaTheme="minorHAnsi"/>
          <w:color w:val="auto"/>
          <w:lang w:val="nb-NO"/>
        </w:rPr>
        <w:t>Konsernledelsen</w:t>
      </w:r>
      <w:r w:rsidR="00670ADE" w:rsidRPr="00670ADE">
        <w:rPr>
          <w:rFonts w:eastAsiaTheme="minorHAnsi"/>
          <w:color w:val="auto"/>
          <w:lang w:val="nb-NO"/>
        </w:rPr>
        <w:t xml:space="preserve"> deltar i de samme pensjonsordningene som andre medarbeidere innenfor den enheten hvor de er ansatt.</w:t>
      </w:r>
    </w:p>
    <w:p w:rsidR="00670ADE" w:rsidRPr="00670ADE" w:rsidRDefault="00670ADE" w:rsidP="00670ADE">
      <w:pPr>
        <w:tabs>
          <w:tab w:val="clear" w:pos="6237"/>
        </w:tabs>
        <w:ind w:right="-7"/>
        <w:rPr>
          <w:rFonts w:cs="Arial"/>
          <w:szCs w:val="20"/>
          <w:lang w:val="nb-NO"/>
        </w:rPr>
      </w:pPr>
    </w:p>
    <w:p w:rsidR="00670ADE" w:rsidRPr="00670ADE" w:rsidRDefault="00670ADE" w:rsidP="00670ADE">
      <w:pPr>
        <w:tabs>
          <w:tab w:val="clear" w:pos="6237"/>
        </w:tabs>
        <w:autoSpaceDE w:val="0"/>
        <w:autoSpaceDN w:val="0"/>
        <w:adjustRightInd w:val="0"/>
        <w:spacing w:line="240" w:lineRule="auto"/>
        <w:rPr>
          <w:rFonts w:cs="Arial"/>
          <w:szCs w:val="20"/>
          <w:lang w:val="nb-NO"/>
        </w:rPr>
      </w:pPr>
      <w:r w:rsidRPr="00670ADE">
        <w:rPr>
          <w:lang w:val="nb-NO"/>
        </w:rPr>
        <w:t xml:space="preserve">Ansatte i den norske enheten er med i en innskuddsbasert pensjonsordning. </w:t>
      </w:r>
      <w:r w:rsidR="0060755B">
        <w:rPr>
          <w:rFonts w:eastAsiaTheme="minorHAnsi"/>
          <w:color w:val="auto"/>
          <w:lang w:val="nb-NO"/>
        </w:rPr>
        <w:t>Årlig opptjening er 4% av årlig grunnlønn fra 1-6</w:t>
      </w:r>
      <w:r w:rsidRPr="00670ADE">
        <w:rPr>
          <w:rFonts w:eastAsiaTheme="minorHAnsi"/>
          <w:color w:val="auto"/>
          <w:lang w:val="nb-NO"/>
        </w:rPr>
        <w:t> G, 8% fra 6</w:t>
      </w:r>
      <w:r w:rsidR="0060755B">
        <w:rPr>
          <w:rFonts w:eastAsiaTheme="minorHAnsi"/>
          <w:color w:val="auto"/>
          <w:lang w:val="nb-NO"/>
        </w:rPr>
        <w:t>-</w:t>
      </w:r>
      <w:r w:rsidRPr="00670ADE">
        <w:rPr>
          <w:rFonts w:eastAsiaTheme="minorHAnsi"/>
          <w:color w:val="auto"/>
          <w:lang w:val="nb-NO"/>
        </w:rPr>
        <w:t>12 G og 18% fra 12</w:t>
      </w:r>
      <w:r w:rsidR="0060755B">
        <w:rPr>
          <w:rFonts w:eastAsiaTheme="minorHAnsi"/>
          <w:color w:val="auto"/>
          <w:lang w:val="nb-NO"/>
        </w:rPr>
        <w:t>-</w:t>
      </w:r>
      <w:r w:rsidRPr="00670ADE">
        <w:rPr>
          <w:rFonts w:eastAsiaTheme="minorHAnsi"/>
          <w:color w:val="auto"/>
          <w:lang w:val="nb-NO"/>
        </w:rPr>
        <w:t>24 G (G er folketrygdens</w:t>
      </w:r>
      <w:r w:rsidR="0060755B">
        <w:rPr>
          <w:rFonts w:eastAsiaTheme="minorHAnsi"/>
          <w:color w:val="auto"/>
          <w:lang w:val="nb-NO"/>
        </w:rPr>
        <w:t xml:space="preserve"> grunnbeløp). Toppordningen (12-</w:t>
      </w:r>
      <w:r w:rsidRPr="00670ADE">
        <w:rPr>
          <w:rFonts w:eastAsiaTheme="minorHAnsi"/>
          <w:color w:val="auto"/>
          <w:lang w:val="nb-NO"/>
        </w:rPr>
        <w:t>24 G) er usikret og udekket.</w:t>
      </w:r>
    </w:p>
    <w:p w:rsidR="00670ADE" w:rsidRPr="00670ADE" w:rsidRDefault="00670ADE" w:rsidP="00670ADE">
      <w:pPr>
        <w:tabs>
          <w:tab w:val="clear" w:pos="6237"/>
        </w:tabs>
        <w:ind w:right="-7"/>
        <w:rPr>
          <w:rFonts w:cs="Arial"/>
          <w:szCs w:val="20"/>
          <w:lang w:val="nb-NO"/>
        </w:rPr>
      </w:pPr>
    </w:p>
    <w:p w:rsidR="00670ADE" w:rsidRPr="00670ADE" w:rsidRDefault="00670ADE" w:rsidP="00670ADE">
      <w:pPr>
        <w:tabs>
          <w:tab w:val="clear" w:pos="6237"/>
        </w:tabs>
        <w:ind w:right="-7"/>
        <w:rPr>
          <w:rFonts w:cs="Arial"/>
          <w:szCs w:val="20"/>
          <w:lang w:val="nb-NO"/>
        </w:rPr>
      </w:pPr>
      <w:r w:rsidRPr="00670ADE">
        <w:rPr>
          <w:lang w:val="nb-NO"/>
        </w:rPr>
        <w:t>Konsernsjefen har en pensjonsavtale.</w:t>
      </w:r>
    </w:p>
    <w:p w:rsidR="00670ADE" w:rsidRDefault="00670ADE" w:rsidP="00593F48">
      <w:pPr>
        <w:tabs>
          <w:tab w:val="clear" w:pos="6237"/>
        </w:tabs>
        <w:ind w:right="-7"/>
        <w:rPr>
          <w:highlight w:val="green"/>
          <w:lang w:val="nb-NO"/>
        </w:rPr>
      </w:pPr>
    </w:p>
    <w:p w:rsidR="00FA4BDA" w:rsidRDefault="00FA4BDA" w:rsidP="00593F48">
      <w:pPr>
        <w:tabs>
          <w:tab w:val="clear" w:pos="6237"/>
        </w:tabs>
        <w:ind w:right="-7"/>
        <w:rPr>
          <w:highlight w:val="green"/>
          <w:lang w:val="nb-NO"/>
        </w:rPr>
      </w:pPr>
    </w:p>
    <w:p w:rsidR="00FA4BDA" w:rsidRDefault="00FA4BDA" w:rsidP="00593F48">
      <w:pPr>
        <w:tabs>
          <w:tab w:val="clear" w:pos="6237"/>
        </w:tabs>
        <w:ind w:right="-7"/>
        <w:rPr>
          <w:highlight w:val="green"/>
          <w:lang w:val="nb-NO"/>
        </w:rPr>
      </w:pPr>
    </w:p>
    <w:p w:rsidR="00FA4BDA" w:rsidRDefault="00FA4BDA" w:rsidP="00593F48">
      <w:pPr>
        <w:tabs>
          <w:tab w:val="clear" w:pos="6237"/>
        </w:tabs>
        <w:ind w:right="-7"/>
        <w:rPr>
          <w:highlight w:val="green"/>
          <w:lang w:val="nb-NO"/>
        </w:rPr>
      </w:pPr>
    </w:p>
    <w:p w:rsidR="00165E4A" w:rsidRDefault="002C4830" w:rsidP="00593F48">
      <w:pPr>
        <w:tabs>
          <w:tab w:val="clear" w:pos="6237"/>
        </w:tabs>
        <w:ind w:right="-7"/>
        <w:rPr>
          <w:highlight w:val="green"/>
        </w:rPr>
      </w:pPr>
      <w:r>
        <w:rPr>
          <w:b/>
        </w:rPr>
        <w:t>SLUTTVEDERLAG</w:t>
      </w:r>
    </w:p>
    <w:tbl>
      <w:tblPr>
        <w:tblStyle w:val="MediumGrid3-Accent3"/>
        <w:tblW w:w="0" w:type="auto"/>
        <w:tblLook w:val="04A0" w:firstRow="1" w:lastRow="0" w:firstColumn="1" w:lastColumn="0" w:noHBand="0" w:noVBand="1"/>
      </w:tblPr>
      <w:tblGrid>
        <w:gridCol w:w="2320"/>
        <w:gridCol w:w="2320"/>
        <w:gridCol w:w="2320"/>
        <w:gridCol w:w="2321"/>
      </w:tblGrid>
      <w:tr w:rsidR="002C4830" w:rsidTr="00165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rsidR="002C4830" w:rsidRPr="002C4830" w:rsidRDefault="002C4830" w:rsidP="00593F48">
            <w:pPr>
              <w:tabs>
                <w:tab w:val="clear" w:pos="6237"/>
              </w:tabs>
              <w:ind w:right="-7"/>
              <w:rPr>
                <w:b w:val="0"/>
                <w:lang w:val="nb-NO"/>
              </w:rPr>
            </w:pPr>
            <w:r w:rsidRPr="002C4830">
              <w:rPr>
                <w:b w:val="0"/>
                <w:lang w:val="nb-NO"/>
              </w:rPr>
              <w:t>Navn</w:t>
            </w:r>
          </w:p>
        </w:tc>
        <w:tc>
          <w:tcPr>
            <w:tcW w:w="2320" w:type="dxa"/>
          </w:tcPr>
          <w:p w:rsidR="002C4830" w:rsidRPr="002C4830" w:rsidRDefault="002C4830" w:rsidP="00593F48">
            <w:pPr>
              <w:tabs>
                <w:tab w:val="clear" w:pos="6237"/>
              </w:tabs>
              <w:ind w:right="-7"/>
              <w:cnfStyle w:val="100000000000" w:firstRow="1" w:lastRow="0" w:firstColumn="0" w:lastColumn="0" w:oddVBand="0" w:evenVBand="0" w:oddHBand="0" w:evenHBand="0" w:firstRowFirstColumn="0" w:firstRowLastColumn="0" w:lastRowFirstColumn="0" w:lastRowLastColumn="0"/>
              <w:rPr>
                <w:bCs w:val="0"/>
                <w:lang w:val="nb-NO"/>
              </w:rPr>
            </w:pPr>
            <w:r w:rsidRPr="002C4830">
              <w:rPr>
                <w:b w:val="0"/>
                <w:lang w:val="nb-NO"/>
              </w:rPr>
              <w:t>Avtalt oppsigelsestid</w:t>
            </w:r>
          </w:p>
          <w:p w:rsidR="002C4830" w:rsidRPr="002C4830" w:rsidRDefault="002C4830" w:rsidP="002C4830">
            <w:pPr>
              <w:jc w:val="center"/>
              <w:cnfStyle w:val="100000000000" w:firstRow="1" w:lastRow="0" w:firstColumn="0" w:lastColumn="0" w:oddVBand="0" w:evenVBand="0" w:oddHBand="0" w:evenHBand="0" w:firstRowFirstColumn="0" w:firstRowLastColumn="0" w:lastRowFirstColumn="0" w:lastRowLastColumn="0"/>
              <w:rPr>
                <w:lang w:val="nb-NO"/>
              </w:rPr>
            </w:pPr>
          </w:p>
        </w:tc>
        <w:tc>
          <w:tcPr>
            <w:tcW w:w="2320" w:type="dxa"/>
          </w:tcPr>
          <w:p w:rsidR="002C4830" w:rsidRPr="002C4830" w:rsidRDefault="002C4830" w:rsidP="007E2B96">
            <w:pPr>
              <w:tabs>
                <w:tab w:val="clear" w:pos="6237"/>
              </w:tabs>
              <w:ind w:right="-7"/>
              <w:cnfStyle w:val="100000000000" w:firstRow="1" w:lastRow="0" w:firstColumn="0" w:lastColumn="0" w:oddVBand="0" w:evenVBand="0" w:oddHBand="0" w:evenHBand="0" w:firstRowFirstColumn="0" w:firstRowLastColumn="0" w:lastRowFirstColumn="0" w:lastRowLastColumn="0"/>
              <w:rPr>
                <w:b w:val="0"/>
                <w:lang w:val="nb-NO"/>
              </w:rPr>
            </w:pPr>
            <w:r w:rsidRPr="002C4830">
              <w:rPr>
                <w:b w:val="0"/>
                <w:lang w:val="nb-NO"/>
              </w:rPr>
              <w:t>Sluttvederlag, antall måneders grunnlønn</w:t>
            </w:r>
          </w:p>
        </w:tc>
        <w:tc>
          <w:tcPr>
            <w:tcW w:w="2321" w:type="dxa"/>
          </w:tcPr>
          <w:p w:rsidR="002C4830" w:rsidRPr="002C4830" w:rsidRDefault="002C4830" w:rsidP="007E2B96">
            <w:pPr>
              <w:tabs>
                <w:tab w:val="clear" w:pos="6237"/>
              </w:tabs>
              <w:ind w:right="-7"/>
              <w:cnfStyle w:val="100000000000" w:firstRow="1" w:lastRow="0" w:firstColumn="0" w:lastColumn="0" w:oddVBand="0" w:evenVBand="0" w:oddHBand="0" w:evenHBand="0" w:firstRowFirstColumn="0" w:firstRowLastColumn="0" w:lastRowFirstColumn="0" w:lastRowLastColumn="0"/>
              <w:rPr>
                <w:b w:val="0"/>
                <w:lang w:val="nb-NO"/>
              </w:rPr>
            </w:pPr>
            <w:r w:rsidRPr="002C4830">
              <w:rPr>
                <w:b w:val="0"/>
                <w:lang w:val="nb-NO"/>
              </w:rPr>
              <w:t>Pensjonsavtale</w:t>
            </w:r>
          </w:p>
        </w:tc>
      </w:tr>
      <w:tr w:rsidR="00165E4A" w:rsidRPr="007B361B" w:rsidTr="00165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rsidR="00165E4A" w:rsidRPr="002C4830" w:rsidRDefault="00B3413C" w:rsidP="00593F48">
            <w:pPr>
              <w:tabs>
                <w:tab w:val="clear" w:pos="6237"/>
              </w:tabs>
              <w:ind w:right="-7"/>
              <w:rPr>
                <w:b w:val="0"/>
                <w:lang w:val="nb-NO"/>
              </w:rPr>
            </w:pPr>
            <w:r w:rsidRPr="002C4830">
              <w:rPr>
                <w:b w:val="0"/>
                <w:lang w:val="nb-NO"/>
              </w:rPr>
              <w:t>Hans Peter Havdal</w:t>
            </w:r>
          </w:p>
        </w:tc>
        <w:tc>
          <w:tcPr>
            <w:tcW w:w="2320" w:type="dxa"/>
          </w:tcPr>
          <w:p w:rsidR="00165E4A" w:rsidRPr="002C4830" w:rsidRDefault="002C4830" w:rsidP="0096149F">
            <w:pPr>
              <w:tabs>
                <w:tab w:val="clear" w:pos="6237"/>
              </w:tabs>
              <w:spacing w:line="276" w:lineRule="auto"/>
              <w:ind w:right="-7"/>
              <w:cnfStyle w:val="000000100000" w:firstRow="0" w:lastRow="0" w:firstColumn="0" w:lastColumn="0" w:oddVBand="0" w:evenVBand="0" w:oddHBand="1" w:evenHBand="0" w:firstRowFirstColumn="0" w:firstRowLastColumn="0" w:lastRowFirstColumn="0" w:lastRowLastColumn="0"/>
              <w:rPr>
                <w:sz w:val="16"/>
                <w:szCs w:val="16"/>
                <w:lang w:val="nb-NO"/>
              </w:rPr>
            </w:pPr>
            <w:r w:rsidRPr="002C4830">
              <w:rPr>
                <w:sz w:val="16"/>
                <w:lang w:val="nb-NO"/>
              </w:rPr>
              <w:t>6 måneder</w:t>
            </w:r>
          </w:p>
        </w:tc>
        <w:tc>
          <w:tcPr>
            <w:tcW w:w="2320" w:type="dxa"/>
          </w:tcPr>
          <w:p w:rsidR="00165E4A" w:rsidRPr="002C4830" w:rsidRDefault="002C4830" w:rsidP="0096149F">
            <w:pPr>
              <w:tabs>
                <w:tab w:val="clear" w:pos="6237"/>
              </w:tabs>
              <w:spacing w:line="276" w:lineRule="auto"/>
              <w:ind w:right="-7"/>
              <w:cnfStyle w:val="000000100000" w:firstRow="0" w:lastRow="0" w:firstColumn="0" w:lastColumn="0" w:oddVBand="0" w:evenVBand="0" w:oddHBand="1" w:evenHBand="0" w:firstRowFirstColumn="0" w:firstRowLastColumn="0" w:lastRowFirstColumn="0" w:lastRowLastColumn="0"/>
              <w:rPr>
                <w:sz w:val="16"/>
                <w:szCs w:val="16"/>
                <w:lang w:val="nb-NO"/>
              </w:rPr>
            </w:pPr>
            <w:r w:rsidRPr="002C4830">
              <w:rPr>
                <w:sz w:val="16"/>
                <w:lang w:val="nb-NO"/>
              </w:rPr>
              <w:t>6 måneder. Medarbeideren har ikke krav på sluttvederlag dersom han selv sier opp sin stilling.</w:t>
            </w:r>
          </w:p>
        </w:tc>
        <w:tc>
          <w:tcPr>
            <w:tcW w:w="2321" w:type="dxa"/>
          </w:tcPr>
          <w:p w:rsidR="00165E4A" w:rsidRPr="002C4830" w:rsidRDefault="002C4830" w:rsidP="0096149F">
            <w:pPr>
              <w:tabs>
                <w:tab w:val="clear" w:pos="6237"/>
              </w:tabs>
              <w:spacing w:line="276" w:lineRule="auto"/>
              <w:ind w:right="-7"/>
              <w:cnfStyle w:val="000000100000" w:firstRow="0" w:lastRow="0" w:firstColumn="0" w:lastColumn="0" w:oddVBand="0" w:evenVBand="0" w:oddHBand="1" w:evenHBand="0" w:firstRowFirstColumn="0" w:firstRowLastColumn="0" w:lastRowFirstColumn="0" w:lastRowLastColumn="0"/>
              <w:rPr>
                <w:sz w:val="16"/>
                <w:szCs w:val="16"/>
                <w:lang w:val="nb-NO"/>
              </w:rPr>
            </w:pPr>
            <w:r w:rsidRPr="002C4830">
              <w:rPr>
                <w:sz w:val="16"/>
                <w:lang w:val="nb-NO"/>
              </w:rPr>
              <w:t>Valg</w:t>
            </w:r>
            <w:r w:rsidR="0060755B">
              <w:rPr>
                <w:sz w:val="16"/>
                <w:lang w:val="nb-NO"/>
              </w:rPr>
              <w:t>fri pensjonsalder fra 62 år. 60</w:t>
            </w:r>
            <w:r w:rsidRPr="002C4830">
              <w:rPr>
                <w:sz w:val="16"/>
                <w:lang w:val="nb-NO"/>
              </w:rPr>
              <w:t>% av grunnlønn (grense). Gjelder fra 62–67 år. Forutsatt at medarbeideren er ansatt i KA ved fylte 62 år.</w:t>
            </w:r>
          </w:p>
        </w:tc>
      </w:tr>
    </w:tbl>
    <w:p w:rsidR="00165E4A" w:rsidRPr="002C4830" w:rsidRDefault="00165E4A" w:rsidP="00593F48">
      <w:pPr>
        <w:tabs>
          <w:tab w:val="clear" w:pos="6237"/>
        </w:tabs>
        <w:ind w:right="-7"/>
        <w:rPr>
          <w:highlight w:val="green"/>
          <w:lang w:val="nb-NO"/>
        </w:rPr>
      </w:pPr>
    </w:p>
    <w:p w:rsidR="002C4830" w:rsidRPr="002C4830" w:rsidRDefault="002C4830" w:rsidP="0000362F">
      <w:pPr>
        <w:tabs>
          <w:tab w:val="clear" w:pos="6237"/>
        </w:tabs>
        <w:ind w:right="-7"/>
        <w:rPr>
          <w:rFonts w:cs="Arial"/>
          <w:sz w:val="16"/>
          <w:szCs w:val="16"/>
          <w:lang w:val="nb-NO"/>
        </w:rPr>
      </w:pPr>
      <w:r w:rsidRPr="002C4830">
        <w:rPr>
          <w:lang w:val="nb-NO"/>
        </w:rPr>
        <w:t xml:space="preserve">Ved årsskiftet hadde ingen andre </w:t>
      </w:r>
      <w:r>
        <w:rPr>
          <w:lang w:val="nb-NO"/>
        </w:rPr>
        <w:t>i konsernledelsen</w:t>
      </w:r>
      <w:r w:rsidRPr="002C4830">
        <w:rPr>
          <w:lang w:val="nb-NO"/>
        </w:rPr>
        <w:t xml:space="preserve"> avtale om sluttvederlag. Oppsigelsestiden for resten av ledelsen er 6 måneder.</w:t>
      </w:r>
    </w:p>
    <w:sectPr w:rsidR="002C4830" w:rsidRPr="002C4830" w:rsidSect="00B8188E">
      <w:headerReference w:type="default" r:id="rId7"/>
      <w:footerReference w:type="default" r:id="rId8"/>
      <w:headerReference w:type="first" r:id="rId9"/>
      <w:footerReference w:type="first" r:id="rId10"/>
      <w:pgSz w:w="11900" w:h="16840"/>
      <w:pgMar w:top="3686" w:right="1134" w:bottom="1701" w:left="1701" w:header="2552" w:footer="9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96" w:rsidRDefault="007E2B96" w:rsidP="005413CA">
      <w:pPr>
        <w:spacing w:line="240" w:lineRule="auto"/>
      </w:pPr>
      <w:r>
        <w:separator/>
      </w:r>
    </w:p>
  </w:endnote>
  <w:endnote w:type="continuationSeparator" w:id="0">
    <w:p w:rsidR="007E2B96" w:rsidRDefault="007E2B96" w:rsidP="00541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
    <w:altName w:val="Ski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96" w:rsidRPr="006A03AC" w:rsidRDefault="007E2B96" w:rsidP="006A03AC">
    <w:pPr>
      <w:pStyle w:val="Footer"/>
      <w:tabs>
        <w:tab w:val="left" w:pos="8220"/>
      </w:tabs>
      <w:spacing w:line="260" w:lineRule="auto"/>
      <w:jc w:val="right"/>
      <w:rPr>
        <w:color w:val="023F88" w:themeColor="text1"/>
        <w:sz w:val="15"/>
      </w:rPr>
    </w:pPr>
    <w:r w:rsidRPr="006A03AC">
      <w:rPr>
        <w:noProof/>
        <w:color w:val="808285"/>
        <w:sz w:val="15"/>
        <w:lang w:eastAsia="zh-CN"/>
      </w:rPr>
      <w:drawing>
        <wp:anchor distT="0" distB="0" distL="114300" distR="114300" simplePos="0" relativeHeight="251659264" behindDoc="1" locked="0" layoutInCell="1" allowOverlap="1">
          <wp:simplePos x="0" y="0"/>
          <wp:positionH relativeFrom="page">
            <wp:posOffset>6948805</wp:posOffset>
          </wp:positionH>
          <wp:positionV relativeFrom="page">
            <wp:posOffset>9901555</wp:posOffset>
          </wp:positionV>
          <wp:extent cx="121920" cy="254000"/>
          <wp:effectExtent l="25400" t="0" r="5080" b="0"/>
          <wp:wrapNone/>
          <wp:docPr id="2" name="Picture 2" descr="tre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kant.jpg"/>
                  <pic:cNvPicPr/>
                </pic:nvPicPr>
                <pic:blipFill>
                  <a:blip r:embed="rId1"/>
                  <a:stretch>
                    <a:fillRect/>
                  </a:stretch>
                </pic:blipFill>
                <pic:spPr>
                  <a:xfrm>
                    <a:off x="0" y="0"/>
                    <a:ext cx="121920" cy="254000"/>
                  </a:xfrm>
                  <a:prstGeom prst="rect">
                    <a:avLst/>
                  </a:prstGeom>
                </pic:spPr>
              </pic:pic>
            </a:graphicData>
          </a:graphic>
        </wp:anchor>
      </w:drawing>
    </w:r>
    <w:r>
      <w:rPr>
        <w:noProof/>
        <w:color w:val="808285"/>
        <w:sz w:val="15"/>
        <w:lang w:eastAsia="zh-CN"/>
      </w:rPr>
      <w:t>201</w:t>
    </w:r>
    <w:r w:rsidR="0060755B">
      <w:rPr>
        <w:noProof/>
        <w:color w:val="808285"/>
        <w:sz w:val="15"/>
        <w:lang w:eastAsia="zh-CN"/>
      </w:rPr>
      <w:t>6</w:t>
    </w:r>
    <w:r>
      <w:rPr>
        <w:noProof/>
        <w:color w:val="808285"/>
        <w:sz w:val="15"/>
        <w:lang w:eastAsia="zh-CN"/>
      </w:rPr>
      <w:t>-0</w:t>
    </w:r>
    <w:r w:rsidR="0060755B">
      <w:rPr>
        <w:noProof/>
        <w:color w:val="808285"/>
        <w:sz w:val="15"/>
        <w:lang w:eastAsia="zh-CN"/>
      </w:rPr>
      <w:t>2</w:t>
    </w:r>
    <w:r w:rsidR="0000362F">
      <w:rPr>
        <w:noProof/>
        <w:color w:val="808285"/>
        <w:sz w:val="15"/>
        <w:lang w:eastAsia="zh-CN"/>
      </w:rPr>
      <w:t>-</w:t>
    </w:r>
    <w:r w:rsidR="0060755B">
      <w:rPr>
        <w:noProof/>
        <w:color w:val="808285"/>
        <w:sz w:val="15"/>
        <w:lang w:eastAsia="zh-CN"/>
      </w:rPr>
      <w:t>11</w:t>
    </w:r>
    <w:r w:rsidRPr="006A03AC">
      <w:rPr>
        <w:color w:val="808285"/>
        <w:sz w:val="15"/>
      </w:rPr>
      <w:t xml:space="preserve"> |</w:t>
    </w:r>
    <w:r>
      <w:rPr>
        <w:color w:val="023F88" w:themeColor="text1"/>
        <w:sz w:val="15"/>
      </w:rPr>
      <w:t xml:space="preserve"> </w:t>
    </w:r>
    <w:r w:rsidRPr="005C2097">
      <w:rPr>
        <w:color w:val="023F88" w:themeColor="text1"/>
        <w:sz w:val="15"/>
        <w:lang w:val="nb-NO"/>
      </w:rPr>
      <w:t>Erklæring om lederlønn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96" w:rsidRPr="001D3F2E" w:rsidRDefault="007E2B96" w:rsidP="00593F48">
    <w:pPr>
      <w:spacing w:line="200" w:lineRule="exact"/>
      <w:jc w:val="right"/>
      <w:rPr>
        <w:color w:val="023F88" w:themeColor="text1"/>
        <w:sz w:val="15"/>
        <w:lang w:val="nn-NO"/>
      </w:rPr>
    </w:pPr>
    <w:r w:rsidRPr="001D3F2E">
      <w:rPr>
        <w:color w:val="023F88" w:themeColor="text1"/>
        <w:sz w:val="15"/>
        <w:lang w:val="nn-NO"/>
      </w:rPr>
      <w:t xml:space="preserve">Kongsberg Automotive </w:t>
    </w:r>
    <w:proofErr w:type="spellStart"/>
    <w:r w:rsidRPr="001D3F2E">
      <w:rPr>
        <w:color w:val="023F88" w:themeColor="text1"/>
        <w:sz w:val="15"/>
        <w:lang w:val="nn-NO"/>
      </w:rPr>
      <w:t>Holding</w:t>
    </w:r>
    <w:proofErr w:type="spellEnd"/>
    <w:r w:rsidRPr="001D3F2E">
      <w:rPr>
        <w:color w:val="023F88" w:themeColor="text1"/>
        <w:sz w:val="15"/>
        <w:lang w:val="nn-NO"/>
      </w:rPr>
      <w:t xml:space="preserve"> ASA</w:t>
    </w:r>
  </w:p>
  <w:p w:rsidR="007E2B96" w:rsidRPr="00D662B8" w:rsidRDefault="007E2B96" w:rsidP="00593F48">
    <w:pPr>
      <w:spacing w:line="200" w:lineRule="exact"/>
      <w:jc w:val="right"/>
      <w:rPr>
        <w:color w:val="808285"/>
        <w:sz w:val="15"/>
      </w:rPr>
    </w:pPr>
    <w:r w:rsidRPr="001D3F2E">
      <w:rPr>
        <w:color w:val="808285"/>
        <w:sz w:val="15"/>
        <w:lang w:val="nn-NO"/>
      </w:rPr>
      <w:t xml:space="preserve">Dyrmyrgata 48. P.O. Box 62. NO-3601 Kongsberg, </w:t>
    </w:r>
    <w:proofErr w:type="spellStart"/>
    <w:r w:rsidRPr="001D3F2E">
      <w:rPr>
        <w:color w:val="808285"/>
        <w:sz w:val="15"/>
        <w:lang w:val="nn-NO"/>
      </w:rPr>
      <w:t>Norway</w:t>
    </w:r>
    <w:proofErr w:type="spellEnd"/>
    <w:r w:rsidRPr="001D3F2E">
      <w:rPr>
        <w:color w:val="808285"/>
        <w:sz w:val="15"/>
        <w:lang w:val="nn-NO"/>
      </w:rPr>
      <w:t xml:space="preserve">. </w:t>
    </w:r>
    <w:r w:rsidRPr="00D662B8">
      <w:rPr>
        <w:color w:val="808285"/>
        <w:sz w:val="15"/>
      </w:rPr>
      <w:t>Tel. +47 32 77 05 00. Fax +47 32 77 05 05</w:t>
    </w:r>
  </w:p>
  <w:p w:rsidR="007E2B96" w:rsidRDefault="007E2B96" w:rsidP="00593F48">
    <w:pPr>
      <w:spacing w:line="200" w:lineRule="exact"/>
      <w:jc w:val="right"/>
    </w:pPr>
    <w:r w:rsidRPr="00D662B8">
      <w:rPr>
        <w:color w:val="808285"/>
        <w:sz w:val="15"/>
      </w:rPr>
      <w:t>www.kongsbergautomotive.com</w:t>
    </w:r>
    <w:r>
      <w:rPr>
        <w:noProof/>
        <w:lang w:eastAsia="zh-CN"/>
      </w:rPr>
      <w:drawing>
        <wp:anchor distT="0" distB="0" distL="114300" distR="114300" simplePos="0" relativeHeight="251661312" behindDoc="1" locked="0" layoutInCell="1" allowOverlap="1">
          <wp:simplePos x="0" y="0"/>
          <wp:positionH relativeFrom="page">
            <wp:posOffset>6948805</wp:posOffset>
          </wp:positionH>
          <wp:positionV relativeFrom="page">
            <wp:posOffset>9901555</wp:posOffset>
          </wp:positionV>
          <wp:extent cx="121920" cy="247650"/>
          <wp:effectExtent l="25400" t="0" r="5080" b="0"/>
          <wp:wrapNone/>
          <wp:docPr id="4" name="Picture 4" descr="tre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kant.jpg"/>
                  <pic:cNvPicPr/>
                </pic:nvPicPr>
                <pic:blipFill>
                  <a:blip r:embed="rId1"/>
                  <a:stretch>
                    <a:fillRect/>
                  </a:stretch>
                </pic:blipFill>
                <pic:spPr>
                  <a:xfrm>
                    <a:off x="0" y="0"/>
                    <a:ext cx="121920" cy="2476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96" w:rsidRDefault="007E2B96" w:rsidP="005413CA">
      <w:pPr>
        <w:spacing w:line="240" w:lineRule="auto"/>
      </w:pPr>
      <w:r>
        <w:separator/>
      </w:r>
    </w:p>
  </w:footnote>
  <w:footnote w:type="continuationSeparator" w:id="0">
    <w:p w:rsidR="007E2B96" w:rsidRDefault="007E2B96" w:rsidP="005413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96" w:rsidRPr="00C8783E" w:rsidRDefault="007E2B96" w:rsidP="00593F48">
    <w:pPr>
      <w:pStyle w:val="Header"/>
      <w:rPr>
        <w:color w:val="023F88" w:themeColor="text1"/>
        <w:sz w:val="24"/>
        <w:szCs w:val="24"/>
        <w:lang w:val="nb-NO"/>
      </w:rPr>
    </w:pPr>
    <w:r w:rsidRPr="001E683C">
      <w:rPr>
        <w:noProof/>
        <w:color w:val="023F88" w:themeColor="text1"/>
        <w:sz w:val="40"/>
        <w:szCs w:val="40"/>
        <w:lang w:eastAsia="zh-CN"/>
      </w:rPr>
      <w:drawing>
        <wp:anchor distT="0" distB="0" distL="114300" distR="114300" simplePos="0" relativeHeight="251662336" behindDoc="1" locked="0" layoutInCell="1" allowOverlap="1">
          <wp:simplePos x="0" y="0"/>
          <wp:positionH relativeFrom="page">
            <wp:posOffset>0</wp:posOffset>
          </wp:positionH>
          <wp:positionV relativeFrom="page">
            <wp:posOffset>1980565</wp:posOffset>
          </wp:positionV>
          <wp:extent cx="7569200" cy="111760"/>
          <wp:effectExtent l="25400" t="0" r="0" b="0"/>
          <wp:wrapNone/>
          <wp:docPr id="22" name="Picture 22" descr="str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ke.jpg"/>
                  <pic:cNvPicPr/>
                </pic:nvPicPr>
                <pic:blipFill>
                  <a:blip r:embed="rId1"/>
                  <a:stretch>
                    <a:fillRect/>
                  </a:stretch>
                </pic:blipFill>
                <pic:spPr>
                  <a:xfrm>
                    <a:off x="0" y="0"/>
                    <a:ext cx="7569200" cy="111760"/>
                  </a:xfrm>
                  <a:prstGeom prst="rect">
                    <a:avLst/>
                  </a:prstGeom>
                </pic:spPr>
              </pic:pic>
            </a:graphicData>
          </a:graphic>
        </wp:anchor>
      </w:drawing>
    </w:r>
    <w:r w:rsidRPr="001E683C">
      <w:rPr>
        <w:noProof/>
        <w:color w:val="023F88" w:themeColor="text1"/>
        <w:sz w:val="40"/>
        <w:szCs w:val="40"/>
        <w:lang w:eastAsia="zh-CN"/>
      </w:rPr>
      <w:drawing>
        <wp:anchor distT="0" distB="0" distL="114300" distR="114300" simplePos="0" relativeHeight="251658240" behindDoc="1" locked="1" layoutInCell="1" allowOverlap="1">
          <wp:simplePos x="0" y="0"/>
          <wp:positionH relativeFrom="page">
            <wp:align>right</wp:align>
          </wp:positionH>
          <wp:positionV relativeFrom="page">
            <wp:align>top</wp:align>
          </wp:positionV>
          <wp:extent cx="1621790" cy="1473200"/>
          <wp:effectExtent l="25400" t="0" r="3810" b="0"/>
          <wp:wrapNone/>
          <wp:docPr id="1" name="Placeholder" descr="KA LOGO_25x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 LOGO_25x21.jpg"/>
                  <pic:cNvPicPr/>
                </pic:nvPicPr>
                <pic:blipFill>
                  <a:blip r:embed="rId2"/>
                  <a:stretch>
                    <a:fillRect/>
                  </a:stretch>
                </pic:blipFill>
                <pic:spPr>
                  <a:xfrm>
                    <a:off x="0" y="0"/>
                    <a:ext cx="1621790" cy="1473200"/>
                  </a:xfrm>
                  <a:prstGeom prst="rect">
                    <a:avLst/>
                  </a:prstGeom>
                </pic:spPr>
              </pic:pic>
            </a:graphicData>
          </a:graphic>
        </wp:anchor>
      </w:drawing>
    </w:r>
    <w:r w:rsidRPr="00C8783E">
      <w:rPr>
        <w:rFonts w:cs="Arial"/>
        <w:color w:val="023F88" w:themeColor="text1"/>
        <w:sz w:val="40"/>
        <w:szCs w:val="40"/>
        <w:lang w:val="nb-NO"/>
      </w:rPr>
      <w:t xml:space="preserve">Erklæring om lederlønn </w:t>
    </w:r>
    <w:r w:rsidRPr="00C8783E">
      <w:rPr>
        <w:rFonts w:cs="Arial"/>
        <w:color w:val="023F88" w:themeColor="text1"/>
        <w:sz w:val="16"/>
        <w:szCs w:val="16"/>
        <w:lang w:val="nb-NO"/>
      </w:rPr>
      <w:t>(for Kongsberg Automotives konsernledelse)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96" w:rsidRPr="00DD7809" w:rsidRDefault="007E2B96" w:rsidP="00593F48">
    <w:pPr>
      <w:pStyle w:val="Header"/>
      <w:tabs>
        <w:tab w:val="clear" w:pos="4320"/>
        <w:tab w:val="clear" w:pos="8640"/>
      </w:tabs>
      <w:rPr>
        <w:color w:val="808285"/>
      </w:rPr>
    </w:pPr>
    <w:r w:rsidRPr="00DD7809">
      <w:rPr>
        <w:noProof/>
        <w:color w:val="808285"/>
        <w:lang w:eastAsia="zh-CN"/>
      </w:rP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1621790" cy="1473200"/>
          <wp:effectExtent l="25400" t="0" r="3810" b="0"/>
          <wp:wrapNone/>
          <wp:docPr id="3" name="Picture 3" descr="KA LOGO_25x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 LOGO_25x21.jpg"/>
                  <pic:cNvPicPr/>
                </pic:nvPicPr>
                <pic:blipFill>
                  <a:blip r:embed="rId1"/>
                  <a:stretch>
                    <a:fillRect/>
                  </a:stretch>
                </pic:blipFill>
                <pic:spPr>
                  <a:xfrm>
                    <a:off x="0" y="0"/>
                    <a:ext cx="1621790" cy="1473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C0E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44B3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0FE72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9A7D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39A1B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CA5E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8EB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C102B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8CD8D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1CB2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E48D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DE33B2"/>
    <w:multiLevelType w:val="hybridMultilevel"/>
    <w:tmpl w:val="F9AA9D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F22FA"/>
    <w:multiLevelType w:val="hybridMultilevel"/>
    <w:tmpl w:val="141A8B56"/>
    <w:lvl w:ilvl="0" w:tplc="FEFA6418">
      <w:start w:val="1"/>
      <w:numFmt w:val="bullet"/>
      <w:lvlText w:val="▸"/>
      <w:lvlJc w:val="left"/>
      <w:pPr>
        <w:tabs>
          <w:tab w:val="num" w:pos="720"/>
        </w:tabs>
        <w:ind w:left="720" w:hanging="360"/>
      </w:pPr>
      <w:rPr>
        <w:rFonts w:ascii="MS Mincho" w:hAnsi="MS Mincho" w:hint="default"/>
      </w:rPr>
    </w:lvl>
    <w:lvl w:ilvl="1" w:tplc="7C4E3BE0" w:tentative="1">
      <w:start w:val="1"/>
      <w:numFmt w:val="bullet"/>
      <w:lvlText w:val="▸"/>
      <w:lvlJc w:val="left"/>
      <w:pPr>
        <w:tabs>
          <w:tab w:val="num" w:pos="1440"/>
        </w:tabs>
        <w:ind w:left="1440" w:hanging="360"/>
      </w:pPr>
      <w:rPr>
        <w:rFonts w:ascii="MS Mincho" w:hAnsi="MS Mincho" w:hint="default"/>
      </w:rPr>
    </w:lvl>
    <w:lvl w:ilvl="2" w:tplc="55F64E80" w:tentative="1">
      <w:start w:val="1"/>
      <w:numFmt w:val="bullet"/>
      <w:lvlText w:val="▸"/>
      <w:lvlJc w:val="left"/>
      <w:pPr>
        <w:tabs>
          <w:tab w:val="num" w:pos="2160"/>
        </w:tabs>
        <w:ind w:left="2160" w:hanging="360"/>
      </w:pPr>
      <w:rPr>
        <w:rFonts w:ascii="MS Mincho" w:hAnsi="MS Mincho" w:hint="default"/>
      </w:rPr>
    </w:lvl>
    <w:lvl w:ilvl="3" w:tplc="E6D06C30" w:tentative="1">
      <w:start w:val="1"/>
      <w:numFmt w:val="bullet"/>
      <w:lvlText w:val="▸"/>
      <w:lvlJc w:val="left"/>
      <w:pPr>
        <w:tabs>
          <w:tab w:val="num" w:pos="2880"/>
        </w:tabs>
        <w:ind w:left="2880" w:hanging="360"/>
      </w:pPr>
      <w:rPr>
        <w:rFonts w:ascii="MS Mincho" w:hAnsi="MS Mincho" w:hint="default"/>
      </w:rPr>
    </w:lvl>
    <w:lvl w:ilvl="4" w:tplc="E8E41EFE" w:tentative="1">
      <w:start w:val="1"/>
      <w:numFmt w:val="bullet"/>
      <w:lvlText w:val="▸"/>
      <w:lvlJc w:val="left"/>
      <w:pPr>
        <w:tabs>
          <w:tab w:val="num" w:pos="3600"/>
        </w:tabs>
        <w:ind w:left="3600" w:hanging="360"/>
      </w:pPr>
      <w:rPr>
        <w:rFonts w:ascii="MS Mincho" w:hAnsi="MS Mincho" w:hint="default"/>
      </w:rPr>
    </w:lvl>
    <w:lvl w:ilvl="5" w:tplc="43207DF6" w:tentative="1">
      <w:start w:val="1"/>
      <w:numFmt w:val="bullet"/>
      <w:lvlText w:val="▸"/>
      <w:lvlJc w:val="left"/>
      <w:pPr>
        <w:tabs>
          <w:tab w:val="num" w:pos="4320"/>
        </w:tabs>
        <w:ind w:left="4320" w:hanging="360"/>
      </w:pPr>
      <w:rPr>
        <w:rFonts w:ascii="MS Mincho" w:hAnsi="MS Mincho" w:hint="default"/>
      </w:rPr>
    </w:lvl>
    <w:lvl w:ilvl="6" w:tplc="D6BEE8E4" w:tentative="1">
      <w:start w:val="1"/>
      <w:numFmt w:val="bullet"/>
      <w:lvlText w:val="▸"/>
      <w:lvlJc w:val="left"/>
      <w:pPr>
        <w:tabs>
          <w:tab w:val="num" w:pos="5040"/>
        </w:tabs>
        <w:ind w:left="5040" w:hanging="360"/>
      </w:pPr>
      <w:rPr>
        <w:rFonts w:ascii="MS Mincho" w:hAnsi="MS Mincho" w:hint="default"/>
      </w:rPr>
    </w:lvl>
    <w:lvl w:ilvl="7" w:tplc="0534E0E4" w:tentative="1">
      <w:start w:val="1"/>
      <w:numFmt w:val="bullet"/>
      <w:lvlText w:val="▸"/>
      <w:lvlJc w:val="left"/>
      <w:pPr>
        <w:tabs>
          <w:tab w:val="num" w:pos="5760"/>
        </w:tabs>
        <w:ind w:left="5760" w:hanging="360"/>
      </w:pPr>
      <w:rPr>
        <w:rFonts w:ascii="MS Mincho" w:hAnsi="MS Mincho" w:hint="default"/>
      </w:rPr>
    </w:lvl>
    <w:lvl w:ilvl="8" w:tplc="37A0759C" w:tentative="1">
      <w:start w:val="1"/>
      <w:numFmt w:val="bullet"/>
      <w:lvlText w:val="▸"/>
      <w:lvlJc w:val="left"/>
      <w:pPr>
        <w:tabs>
          <w:tab w:val="num" w:pos="6480"/>
        </w:tabs>
        <w:ind w:left="6480" w:hanging="360"/>
      </w:pPr>
      <w:rPr>
        <w:rFonts w:ascii="MS Mincho" w:hAnsi="MS Mincho" w:hint="default"/>
      </w:rPr>
    </w:lvl>
  </w:abstractNum>
  <w:abstractNum w:abstractNumId="13" w15:restartNumberingAfterBreak="0">
    <w:nsid w:val="3C177D2F"/>
    <w:multiLevelType w:val="hybridMultilevel"/>
    <w:tmpl w:val="58CC20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B90476"/>
    <w:multiLevelType w:val="hybridMultilevel"/>
    <w:tmpl w:val="B2A03C6A"/>
    <w:lvl w:ilvl="0" w:tplc="0AE2E1C0">
      <w:start w:val="1"/>
      <w:numFmt w:val="bullet"/>
      <w:lvlText w:val="▸"/>
      <w:lvlJc w:val="left"/>
      <w:pPr>
        <w:tabs>
          <w:tab w:val="num" w:pos="720"/>
        </w:tabs>
        <w:ind w:left="720" w:hanging="360"/>
      </w:pPr>
      <w:rPr>
        <w:rFonts w:ascii="MS Mincho" w:hAnsi="MS Mincho" w:hint="default"/>
      </w:rPr>
    </w:lvl>
    <w:lvl w:ilvl="1" w:tplc="176026E2" w:tentative="1">
      <w:start w:val="1"/>
      <w:numFmt w:val="bullet"/>
      <w:lvlText w:val="▸"/>
      <w:lvlJc w:val="left"/>
      <w:pPr>
        <w:tabs>
          <w:tab w:val="num" w:pos="1440"/>
        </w:tabs>
        <w:ind w:left="1440" w:hanging="360"/>
      </w:pPr>
      <w:rPr>
        <w:rFonts w:ascii="MS Mincho" w:hAnsi="MS Mincho" w:hint="default"/>
      </w:rPr>
    </w:lvl>
    <w:lvl w:ilvl="2" w:tplc="141E1808" w:tentative="1">
      <w:start w:val="1"/>
      <w:numFmt w:val="bullet"/>
      <w:lvlText w:val="▸"/>
      <w:lvlJc w:val="left"/>
      <w:pPr>
        <w:tabs>
          <w:tab w:val="num" w:pos="2160"/>
        </w:tabs>
        <w:ind w:left="2160" w:hanging="360"/>
      </w:pPr>
      <w:rPr>
        <w:rFonts w:ascii="MS Mincho" w:hAnsi="MS Mincho" w:hint="default"/>
      </w:rPr>
    </w:lvl>
    <w:lvl w:ilvl="3" w:tplc="534E6022" w:tentative="1">
      <w:start w:val="1"/>
      <w:numFmt w:val="bullet"/>
      <w:lvlText w:val="▸"/>
      <w:lvlJc w:val="left"/>
      <w:pPr>
        <w:tabs>
          <w:tab w:val="num" w:pos="2880"/>
        </w:tabs>
        <w:ind w:left="2880" w:hanging="360"/>
      </w:pPr>
      <w:rPr>
        <w:rFonts w:ascii="MS Mincho" w:hAnsi="MS Mincho" w:hint="default"/>
      </w:rPr>
    </w:lvl>
    <w:lvl w:ilvl="4" w:tplc="61D4753C" w:tentative="1">
      <w:start w:val="1"/>
      <w:numFmt w:val="bullet"/>
      <w:lvlText w:val="▸"/>
      <w:lvlJc w:val="left"/>
      <w:pPr>
        <w:tabs>
          <w:tab w:val="num" w:pos="3600"/>
        </w:tabs>
        <w:ind w:left="3600" w:hanging="360"/>
      </w:pPr>
      <w:rPr>
        <w:rFonts w:ascii="MS Mincho" w:hAnsi="MS Mincho" w:hint="default"/>
      </w:rPr>
    </w:lvl>
    <w:lvl w:ilvl="5" w:tplc="EBF4A550" w:tentative="1">
      <w:start w:val="1"/>
      <w:numFmt w:val="bullet"/>
      <w:lvlText w:val="▸"/>
      <w:lvlJc w:val="left"/>
      <w:pPr>
        <w:tabs>
          <w:tab w:val="num" w:pos="4320"/>
        </w:tabs>
        <w:ind w:left="4320" w:hanging="360"/>
      </w:pPr>
      <w:rPr>
        <w:rFonts w:ascii="MS Mincho" w:hAnsi="MS Mincho" w:hint="default"/>
      </w:rPr>
    </w:lvl>
    <w:lvl w:ilvl="6" w:tplc="731C5A36" w:tentative="1">
      <w:start w:val="1"/>
      <w:numFmt w:val="bullet"/>
      <w:lvlText w:val="▸"/>
      <w:lvlJc w:val="left"/>
      <w:pPr>
        <w:tabs>
          <w:tab w:val="num" w:pos="5040"/>
        </w:tabs>
        <w:ind w:left="5040" w:hanging="360"/>
      </w:pPr>
      <w:rPr>
        <w:rFonts w:ascii="MS Mincho" w:hAnsi="MS Mincho" w:hint="default"/>
      </w:rPr>
    </w:lvl>
    <w:lvl w:ilvl="7" w:tplc="2356EC70" w:tentative="1">
      <w:start w:val="1"/>
      <w:numFmt w:val="bullet"/>
      <w:lvlText w:val="▸"/>
      <w:lvlJc w:val="left"/>
      <w:pPr>
        <w:tabs>
          <w:tab w:val="num" w:pos="5760"/>
        </w:tabs>
        <w:ind w:left="5760" w:hanging="360"/>
      </w:pPr>
      <w:rPr>
        <w:rFonts w:ascii="MS Mincho" w:hAnsi="MS Mincho" w:hint="default"/>
      </w:rPr>
    </w:lvl>
    <w:lvl w:ilvl="8" w:tplc="4DF072E2" w:tentative="1">
      <w:start w:val="1"/>
      <w:numFmt w:val="bullet"/>
      <w:lvlText w:val="▸"/>
      <w:lvlJc w:val="left"/>
      <w:pPr>
        <w:tabs>
          <w:tab w:val="num" w:pos="6480"/>
        </w:tabs>
        <w:ind w:left="6480" w:hanging="360"/>
      </w:pPr>
      <w:rPr>
        <w:rFonts w:ascii="MS Mincho" w:hAnsi="MS Mincho" w:hint="default"/>
      </w:rPr>
    </w:lvl>
  </w:abstractNum>
  <w:abstractNum w:abstractNumId="15" w15:restartNumberingAfterBreak="0">
    <w:nsid w:val="6E516A3A"/>
    <w:multiLevelType w:val="hybridMultilevel"/>
    <w:tmpl w:val="DD5A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embedSystemFonts/>
  <w:activeWritingStyle w:appName="MSWord" w:lang="nb-NO" w:vendorID="64" w:dllVersion="131078" w:nlCheck="1" w:checkStyle="0"/>
  <w:activeWritingStyle w:appName="MSWord" w:lang="en-GB"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EE"/>
    <w:rsid w:val="000024C0"/>
    <w:rsid w:val="0000362F"/>
    <w:rsid w:val="00036BC6"/>
    <w:rsid w:val="00045073"/>
    <w:rsid w:val="000602F7"/>
    <w:rsid w:val="000833D9"/>
    <w:rsid w:val="000A0C02"/>
    <w:rsid w:val="000C705F"/>
    <w:rsid w:val="00127498"/>
    <w:rsid w:val="00131438"/>
    <w:rsid w:val="00165E4A"/>
    <w:rsid w:val="00186F7D"/>
    <w:rsid w:val="001C4050"/>
    <w:rsid w:val="001D3F2E"/>
    <w:rsid w:val="001E683C"/>
    <w:rsid w:val="00216A5D"/>
    <w:rsid w:val="00296169"/>
    <w:rsid w:val="002C4830"/>
    <w:rsid w:val="002D5144"/>
    <w:rsid w:val="002F2C5B"/>
    <w:rsid w:val="002F7DAC"/>
    <w:rsid w:val="003335FF"/>
    <w:rsid w:val="003C0E6B"/>
    <w:rsid w:val="003C21BB"/>
    <w:rsid w:val="003D4A74"/>
    <w:rsid w:val="00452836"/>
    <w:rsid w:val="0049081A"/>
    <w:rsid w:val="004913F1"/>
    <w:rsid w:val="0051142A"/>
    <w:rsid w:val="00514829"/>
    <w:rsid w:val="005413CA"/>
    <w:rsid w:val="00550689"/>
    <w:rsid w:val="0056482C"/>
    <w:rsid w:val="00584649"/>
    <w:rsid w:val="00593F48"/>
    <w:rsid w:val="005B587D"/>
    <w:rsid w:val="005C2097"/>
    <w:rsid w:val="005D37EE"/>
    <w:rsid w:val="005E2C6A"/>
    <w:rsid w:val="0060755B"/>
    <w:rsid w:val="00625621"/>
    <w:rsid w:val="00642647"/>
    <w:rsid w:val="00670ADE"/>
    <w:rsid w:val="006955AB"/>
    <w:rsid w:val="006A03AC"/>
    <w:rsid w:val="006E30FB"/>
    <w:rsid w:val="00700EE0"/>
    <w:rsid w:val="00752F61"/>
    <w:rsid w:val="00757EAC"/>
    <w:rsid w:val="00763846"/>
    <w:rsid w:val="007A23D6"/>
    <w:rsid w:val="007B361B"/>
    <w:rsid w:val="007D53FB"/>
    <w:rsid w:val="007E2B96"/>
    <w:rsid w:val="007F5E7E"/>
    <w:rsid w:val="008264A7"/>
    <w:rsid w:val="00841C0A"/>
    <w:rsid w:val="00887118"/>
    <w:rsid w:val="008A0504"/>
    <w:rsid w:val="008B57D5"/>
    <w:rsid w:val="009027CC"/>
    <w:rsid w:val="0090600B"/>
    <w:rsid w:val="00921ABA"/>
    <w:rsid w:val="009550F4"/>
    <w:rsid w:val="0096149F"/>
    <w:rsid w:val="009B1711"/>
    <w:rsid w:val="009D43F9"/>
    <w:rsid w:val="00A06616"/>
    <w:rsid w:val="00AC01DF"/>
    <w:rsid w:val="00B02A85"/>
    <w:rsid w:val="00B05050"/>
    <w:rsid w:val="00B23D86"/>
    <w:rsid w:val="00B3413C"/>
    <w:rsid w:val="00B35450"/>
    <w:rsid w:val="00B8188E"/>
    <w:rsid w:val="00BB5FFD"/>
    <w:rsid w:val="00BB68A5"/>
    <w:rsid w:val="00C05C8C"/>
    <w:rsid w:val="00C123FC"/>
    <w:rsid w:val="00C2645B"/>
    <w:rsid w:val="00C3264C"/>
    <w:rsid w:val="00C54AD4"/>
    <w:rsid w:val="00C62CCB"/>
    <w:rsid w:val="00C8783E"/>
    <w:rsid w:val="00CA1920"/>
    <w:rsid w:val="00CE1DF0"/>
    <w:rsid w:val="00CF024F"/>
    <w:rsid w:val="00CF3CFC"/>
    <w:rsid w:val="00D96E8C"/>
    <w:rsid w:val="00DA7AF7"/>
    <w:rsid w:val="00DB3484"/>
    <w:rsid w:val="00DE1953"/>
    <w:rsid w:val="00DE5306"/>
    <w:rsid w:val="00E32A2D"/>
    <w:rsid w:val="00EA53FB"/>
    <w:rsid w:val="00EB07DB"/>
    <w:rsid w:val="00EB26E9"/>
    <w:rsid w:val="00EB5E63"/>
    <w:rsid w:val="00EC3F2C"/>
    <w:rsid w:val="00F00FE0"/>
    <w:rsid w:val="00F31754"/>
    <w:rsid w:val="00FA4BDA"/>
    <w:rsid w:val="00FD108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13BA900-9508-4D23-A9D5-289C649A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2D0"/>
    <w:pPr>
      <w:tabs>
        <w:tab w:val="left" w:pos="6237"/>
      </w:tabs>
      <w:spacing w:after="0" w:line="260" w:lineRule="exact"/>
    </w:pPr>
    <w:rPr>
      <w:rFonts w:ascii="Arial" w:eastAsiaTheme="minorEastAsia" w:hAnsi="Arial"/>
      <w:color w:val="000000"/>
      <w:sz w:val="20"/>
      <w:szCs w:val="22"/>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3D7"/>
    <w:pPr>
      <w:tabs>
        <w:tab w:val="clear" w:pos="6237"/>
        <w:tab w:val="center" w:pos="4320"/>
        <w:tab w:val="right" w:pos="8640"/>
      </w:tabs>
      <w:spacing w:line="240" w:lineRule="auto"/>
    </w:pPr>
  </w:style>
  <w:style w:type="character" w:customStyle="1" w:styleId="HeaderChar">
    <w:name w:val="Header Char"/>
    <w:basedOn w:val="DefaultParagraphFont"/>
    <w:link w:val="Header"/>
    <w:uiPriority w:val="99"/>
    <w:rsid w:val="00A423D7"/>
    <w:rPr>
      <w:rFonts w:ascii="AGaramond" w:eastAsiaTheme="minorEastAsia" w:hAnsi="AGaramond"/>
      <w:color w:val="808080" w:themeColor="background1" w:themeShade="80"/>
      <w:sz w:val="20"/>
      <w:szCs w:val="22"/>
      <w:lang w:eastAsia="nb-NO"/>
    </w:rPr>
  </w:style>
  <w:style w:type="paragraph" w:styleId="Footer">
    <w:name w:val="footer"/>
    <w:basedOn w:val="Normal"/>
    <w:link w:val="FooterChar"/>
    <w:uiPriority w:val="99"/>
    <w:unhideWhenUsed/>
    <w:rsid w:val="00A423D7"/>
    <w:pPr>
      <w:tabs>
        <w:tab w:val="clear" w:pos="6237"/>
        <w:tab w:val="center" w:pos="4320"/>
        <w:tab w:val="right" w:pos="8640"/>
      </w:tabs>
      <w:spacing w:line="240" w:lineRule="auto"/>
    </w:pPr>
  </w:style>
  <w:style w:type="character" w:customStyle="1" w:styleId="FooterChar">
    <w:name w:val="Footer Char"/>
    <w:basedOn w:val="DefaultParagraphFont"/>
    <w:link w:val="Footer"/>
    <w:uiPriority w:val="99"/>
    <w:rsid w:val="00A423D7"/>
    <w:rPr>
      <w:rFonts w:ascii="AGaramond" w:eastAsiaTheme="minorEastAsia" w:hAnsi="AGaramond"/>
      <w:color w:val="808080" w:themeColor="background1" w:themeShade="80"/>
      <w:sz w:val="20"/>
      <w:szCs w:val="22"/>
      <w:lang w:eastAsia="nb-NO"/>
    </w:rPr>
  </w:style>
  <w:style w:type="character" w:styleId="PageNumber">
    <w:name w:val="page number"/>
    <w:basedOn w:val="DefaultParagraphFont"/>
    <w:rsid w:val="006536F7"/>
  </w:style>
  <w:style w:type="table" w:styleId="TableGrid">
    <w:name w:val="Table Grid"/>
    <w:basedOn w:val="TableNormal"/>
    <w:rsid w:val="00200CCF"/>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0833D9"/>
  </w:style>
  <w:style w:type="table" w:styleId="ColorfulList-Accent2">
    <w:name w:val="Colorful List Accent 2"/>
    <w:basedOn w:val="TableNormal"/>
    <w:rsid w:val="00165E4A"/>
    <w:pPr>
      <w:spacing w:after="0"/>
    </w:pPr>
    <w:rPr>
      <w:color w:val="023F88" w:themeColor="text1"/>
    </w:rPr>
    <w:tblPr>
      <w:tblStyleRowBandSize w:val="1"/>
      <w:tblStyleColBandSize w:val="1"/>
    </w:tblPr>
    <w:tcPr>
      <w:shd w:val="clear" w:color="auto" w:fill="DEF1FF" w:themeFill="accent2" w:themeFillTint="19"/>
    </w:tcPr>
    <w:tblStylePr w:type="firstRow">
      <w:rPr>
        <w:b/>
        <w:bCs/>
        <w:color w:val="FFFFFF" w:themeColor="background1"/>
      </w:rPr>
      <w:tblPr/>
      <w:tcPr>
        <w:tcBorders>
          <w:bottom w:val="single" w:sz="12" w:space="0" w:color="FFFFFF" w:themeColor="background1"/>
        </w:tcBorders>
        <w:shd w:val="clear" w:color="auto" w:fill="005692" w:themeFill="accent2" w:themeFillShade="CC"/>
      </w:tcPr>
    </w:tblStylePr>
    <w:tblStylePr w:type="lastRow">
      <w:rPr>
        <w:b/>
        <w:bCs/>
        <w:color w:val="005692" w:themeColor="accent2" w:themeShade="CC"/>
      </w:rPr>
      <w:tblPr/>
      <w:tcPr>
        <w:tcBorders>
          <w:top w:val="single" w:sz="12" w:space="0" w:color="023F8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DFF" w:themeFill="accent2" w:themeFillTint="3F"/>
      </w:tcPr>
    </w:tblStylePr>
    <w:tblStylePr w:type="band1Horz">
      <w:tblPr/>
      <w:tcPr>
        <w:shd w:val="clear" w:color="auto" w:fill="BDE3FF" w:themeFill="accent2" w:themeFillTint="33"/>
      </w:tcPr>
    </w:tblStylePr>
  </w:style>
  <w:style w:type="table" w:styleId="MediumShading1-Accent3">
    <w:name w:val="Medium Shading 1 Accent 3"/>
    <w:basedOn w:val="TableNormal"/>
    <w:rsid w:val="00165E4A"/>
    <w:pPr>
      <w:spacing w:after="0"/>
    </w:pPr>
    <w:tblPr>
      <w:tblStyleRowBandSize w:val="1"/>
      <w:tblStyleColBandSize w:val="1"/>
      <w:tblBorders>
        <w:top w:val="single" w:sz="8" w:space="0" w:color="7DC8ED" w:themeColor="accent3" w:themeTint="BF"/>
        <w:left w:val="single" w:sz="8" w:space="0" w:color="7DC8ED" w:themeColor="accent3" w:themeTint="BF"/>
        <w:bottom w:val="single" w:sz="8" w:space="0" w:color="7DC8ED" w:themeColor="accent3" w:themeTint="BF"/>
        <w:right w:val="single" w:sz="8" w:space="0" w:color="7DC8ED" w:themeColor="accent3" w:themeTint="BF"/>
        <w:insideH w:val="single" w:sz="8" w:space="0" w:color="7DC8ED" w:themeColor="accent3" w:themeTint="BF"/>
      </w:tblBorders>
    </w:tblPr>
    <w:tblStylePr w:type="firstRow">
      <w:pPr>
        <w:spacing w:before="0" w:after="0" w:line="240" w:lineRule="auto"/>
      </w:pPr>
      <w:rPr>
        <w:b/>
        <w:bCs/>
        <w:color w:val="FFFFFF" w:themeColor="background1"/>
      </w:rPr>
      <w:tblPr/>
      <w:tcPr>
        <w:tcBorders>
          <w:top w:val="single" w:sz="8" w:space="0" w:color="7DC8ED" w:themeColor="accent3" w:themeTint="BF"/>
          <w:left w:val="single" w:sz="8" w:space="0" w:color="7DC8ED" w:themeColor="accent3" w:themeTint="BF"/>
          <w:bottom w:val="single" w:sz="8" w:space="0" w:color="7DC8ED" w:themeColor="accent3" w:themeTint="BF"/>
          <w:right w:val="single" w:sz="8" w:space="0" w:color="7DC8ED" w:themeColor="accent3" w:themeTint="BF"/>
          <w:insideH w:val="nil"/>
          <w:insideV w:val="nil"/>
        </w:tcBorders>
        <w:shd w:val="clear" w:color="auto" w:fill="53B7E8" w:themeFill="accent3"/>
      </w:tcPr>
    </w:tblStylePr>
    <w:tblStylePr w:type="lastRow">
      <w:pPr>
        <w:spacing w:before="0" w:after="0" w:line="240" w:lineRule="auto"/>
      </w:pPr>
      <w:rPr>
        <w:b/>
        <w:bCs/>
      </w:rPr>
      <w:tblPr/>
      <w:tcPr>
        <w:tcBorders>
          <w:top w:val="double" w:sz="6" w:space="0" w:color="7DC8ED" w:themeColor="accent3" w:themeTint="BF"/>
          <w:left w:val="single" w:sz="8" w:space="0" w:color="7DC8ED" w:themeColor="accent3" w:themeTint="BF"/>
          <w:bottom w:val="single" w:sz="8" w:space="0" w:color="7DC8ED" w:themeColor="accent3" w:themeTint="BF"/>
          <w:right w:val="single" w:sz="8" w:space="0" w:color="7DC8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4EDF9" w:themeFill="accent3" w:themeFillTint="3F"/>
      </w:tcPr>
    </w:tblStylePr>
    <w:tblStylePr w:type="band1Horz">
      <w:tblPr/>
      <w:tcPr>
        <w:tcBorders>
          <w:insideH w:val="nil"/>
          <w:insideV w:val="nil"/>
        </w:tcBorders>
        <w:shd w:val="clear" w:color="auto" w:fill="D4EDF9" w:themeFill="accent3" w:themeFillTint="3F"/>
      </w:tcPr>
    </w:tblStylePr>
    <w:tblStylePr w:type="band2Horz">
      <w:tblPr/>
      <w:tcPr>
        <w:tcBorders>
          <w:insideH w:val="nil"/>
          <w:insideV w:val="nil"/>
        </w:tcBorders>
      </w:tcPr>
    </w:tblStylePr>
  </w:style>
  <w:style w:type="table" w:styleId="MediumGrid2-Accent3">
    <w:name w:val="Medium Grid 2 Accent 3"/>
    <w:basedOn w:val="TableNormal"/>
    <w:rsid w:val="00165E4A"/>
    <w:pPr>
      <w:spacing w:after="0"/>
    </w:pPr>
    <w:rPr>
      <w:rFonts w:asciiTheme="majorHAnsi" w:eastAsiaTheme="majorEastAsia" w:hAnsiTheme="majorHAnsi" w:cstheme="majorBidi"/>
      <w:color w:val="023F88" w:themeColor="text1"/>
    </w:rPr>
    <w:tblPr>
      <w:tblStyleRowBandSize w:val="1"/>
      <w:tblStyleColBandSize w:val="1"/>
      <w:tblBorders>
        <w:top w:val="single" w:sz="8" w:space="0" w:color="53B7E8" w:themeColor="accent3"/>
        <w:left w:val="single" w:sz="8" w:space="0" w:color="53B7E8" w:themeColor="accent3"/>
        <w:bottom w:val="single" w:sz="8" w:space="0" w:color="53B7E8" w:themeColor="accent3"/>
        <w:right w:val="single" w:sz="8" w:space="0" w:color="53B7E8" w:themeColor="accent3"/>
        <w:insideH w:val="single" w:sz="8" w:space="0" w:color="53B7E8" w:themeColor="accent3"/>
        <w:insideV w:val="single" w:sz="8" w:space="0" w:color="53B7E8" w:themeColor="accent3"/>
      </w:tblBorders>
    </w:tblPr>
    <w:tcPr>
      <w:shd w:val="clear" w:color="auto" w:fill="D4EDF9" w:themeFill="accent3" w:themeFillTint="3F"/>
    </w:tcPr>
    <w:tblStylePr w:type="firstRow">
      <w:rPr>
        <w:b/>
        <w:bCs/>
        <w:color w:val="023F88" w:themeColor="text1"/>
      </w:rPr>
      <w:tblPr/>
      <w:tcPr>
        <w:shd w:val="clear" w:color="auto" w:fill="EDF7FC" w:themeFill="accent3" w:themeFillTint="19"/>
      </w:tcPr>
    </w:tblStylePr>
    <w:tblStylePr w:type="lastRow">
      <w:rPr>
        <w:b/>
        <w:bCs/>
        <w:color w:val="023F88" w:themeColor="text1"/>
      </w:rPr>
      <w:tblPr/>
      <w:tcPr>
        <w:tcBorders>
          <w:top w:val="single" w:sz="12" w:space="0" w:color="023F88" w:themeColor="text1"/>
          <w:left w:val="nil"/>
          <w:bottom w:val="nil"/>
          <w:right w:val="nil"/>
          <w:insideH w:val="nil"/>
          <w:insideV w:val="nil"/>
        </w:tcBorders>
        <w:shd w:val="clear" w:color="auto" w:fill="FFFFFF" w:themeFill="background1"/>
      </w:tcPr>
    </w:tblStylePr>
    <w:tblStylePr w:type="firstCol">
      <w:rPr>
        <w:b/>
        <w:bCs/>
        <w:color w:val="023F8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23F88" w:themeColor="text1"/>
      </w:rPr>
      <w:tblPr/>
      <w:tcPr>
        <w:tcBorders>
          <w:top w:val="nil"/>
          <w:left w:val="nil"/>
          <w:bottom w:val="nil"/>
          <w:right w:val="nil"/>
          <w:insideH w:val="nil"/>
          <w:insideV w:val="nil"/>
        </w:tcBorders>
        <w:shd w:val="clear" w:color="auto" w:fill="DCF0FA" w:themeFill="accent3" w:themeFillTint="33"/>
      </w:tcPr>
    </w:tblStylePr>
    <w:tblStylePr w:type="band1Vert">
      <w:tblPr/>
      <w:tcPr>
        <w:shd w:val="clear" w:color="auto" w:fill="A9DBF3" w:themeFill="accent3" w:themeFillTint="7F"/>
      </w:tcPr>
    </w:tblStylePr>
    <w:tblStylePr w:type="band1Horz">
      <w:tblPr/>
      <w:tcPr>
        <w:tcBorders>
          <w:insideH w:val="single" w:sz="6" w:space="0" w:color="53B7E8" w:themeColor="accent3"/>
          <w:insideV w:val="single" w:sz="6" w:space="0" w:color="53B7E8" w:themeColor="accent3"/>
        </w:tcBorders>
        <w:shd w:val="clear" w:color="auto" w:fill="A9DBF3" w:themeFill="accent3" w:themeFillTint="7F"/>
      </w:tcPr>
    </w:tblStylePr>
    <w:tblStylePr w:type="nwCell">
      <w:tblPr/>
      <w:tcPr>
        <w:shd w:val="clear" w:color="auto" w:fill="FFFFFF" w:themeFill="background1"/>
      </w:tcPr>
    </w:tblStylePr>
  </w:style>
  <w:style w:type="table" w:styleId="MediumGrid1-Accent3">
    <w:name w:val="Medium Grid 1 Accent 3"/>
    <w:basedOn w:val="TableNormal"/>
    <w:rsid w:val="00165E4A"/>
    <w:pPr>
      <w:spacing w:after="0"/>
    </w:pPr>
    <w:tblPr>
      <w:tblStyleRowBandSize w:val="1"/>
      <w:tblStyleColBandSize w:val="1"/>
      <w:tblBorders>
        <w:top w:val="single" w:sz="8" w:space="0" w:color="7DC8ED" w:themeColor="accent3" w:themeTint="BF"/>
        <w:left w:val="single" w:sz="8" w:space="0" w:color="7DC8ED" w:themeColor="accent3" w:themeTint="BF"/>
        <w:bottom w:val="single" w:sz="8" w:space="0" w:color="7DC8ED" w:themeColor="accent3" w:themeTint="BF"/>
        <w:right w:val="single" w:sz="8" w:space="0" w:color="7DC8ED" w:themeColor="accent3" w:themeTint="BF"/>
        <w:insideH w:val="single" w:sz="8" w:space="0" w:color="7DC8ED" w:themeColor="accent3" w:themeTint="BF"/>
        <w:insideV w:val="single" w:sz="8" w:space="0" w:color="7DC8ED" w:themeColor="accent3" w:themeTint="BF"/>
      </w:tblBorders>
    </w:tblPr>
    <w:tcPr>
      <w:shd w:val="clear" w:color="auto" w:fill="D4EDF9" w:themeFill="accent3" w:themeFillTint="3F"/>
    </w:tcPr>
    <w:tblStylePr w:type="firstRow">
      <w:rPr>
        <w:b/>
        <w:bCs/>
      </w:rPr>
    </w:tblStylePr>
    <w:tblStylePr w:type="lastRow">
      <w:rPr>
        <w:b/>
        <w:bCs/>
      </w:rPr>
      <w:tblPr/>
      <w:tcPr>
        <w:tcBorders>
          <w:top w:val="single" w:sz="18" w:space="0" w:color="7DC8ED" w:themeColor="accent3" w:themeTint="BF"/>
        </w:tcBorders>
      </w:tcPr>
    </w:tblStylePr>
    <w:tblStylePr w:type="firstCol">
      <w:rPr>
        <w:b/>
        <w:bCs/>
      </w:rPr>
    </w:tblStylePr>
    <w:tblStylePr w:type="lastCol">
      <w:rPr>
        <w:b/>
        <w:bCs/>
      </w:rPr>
    </w:tblStylePr>
    <w:tblStylePr w:type="band1Vert">
      <w:tblPr/>
      <w:tcPr>
        <w:shd w:val="clear" w:color="auto" w:fill="A9DBF3" w:themeFill="accent3" w:themeFillTint="7F"/>
      </w:tcPr>
    </w:tblStylePr>
    <w:tblStylePr w:type="band1Horz">
      <w:tblPr/>
      <w:tcPr>
        <w:shd w:val="clear" w:color="auto" w:fill="A9DBF3" w:themeFill="accent3" w:themeFillTint="7F"/>
      </w:tcPr>
    </w:tblStylePr>
  </w:style>
  <w:style w:type="table" w:styleId="MediumGrid3-Accent3">
    <w:name w:val="Medium Grid 3 Accent 3"/>
    <w:basedOn w:val="TableNormal"/>
    <w:rsid w:val="00165E4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D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B7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B7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B7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B7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DB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DBF3" w:themeFill="accent3" w:themeFillTint="7F"/>
      </w:tcPr>
    </w:tblStylePr>
  </w:style>
  <w:style w:type="paragraph" w:styleId="ListParagraph">
    <w:name w:val="List Paragraph"/>
    <w:basedOn w:val="Normal"/>
    <w:rsid w:val="007E2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00696">
      <w:bodyDiv w:val="1"/>
      <w:marLeft w:val="0"/>
      <w:marRight w:val="0"/>
      <w:marTop w:val="0"/>
      <w:marBottom w:val="0"/>
      <w:divBdr>
        <w:top w:val="none" w:sz="0" w:space="0" w:color="auto"/>
        <w:left w:val="none" w:sz="0" w:space="0" w:color="auto"/>
        <w:bottom w:val="none" w:sz="0" w:space="0" w:color="auto"/>
        <w:right w:val="none" w:sz="0" w:space="0" w:color="auto"/>
      </w:divBdr>
      <w:divsChild>
        <w:div w:id="1874809135">
          <w:marLeft w:val="547"/>
          <w:marRight w:val="0"/>
          <w:marTop w:val="86"/>
          <w:marBottom w:val="0"/>
          <w:divBdr>
            <w:top w:val="none" w:sz="0" w:space="0" w:color="auto"/>
            <w:left w:val="none" w:sz="0" w:space="0" w:color="auto"/>
            <w:bottom w:val="none" w:sz="0" w:space="0" w:color="auto"/>
            <w:right w:val="none" w:sz="0" w:space="0" w:color="auto"/>
          </w:divBdr>
        </w:div>
        <w:div w:id="559097450">
          <w:marLeft w:val="547"/>
          <w:marRight w:val="0"/>
          <w:marTop w:val="86"/>
          <w:marBottom w:val="0"/>
          <w:divBdr>
            <w:top w:val="none" w:sz="0" w:space="0" w:color="auto"/>
            <w:left w:val="none" w:sz="0" w:space="0" w:color="auto"/>
            <w:bottom w:val="none" w:sz="0" w:space="0" w:color="auto"/>
            <w:right w:val="none" w:sz="0" w:space="0" w:color="auto"/>
          </w:divBdr>
        </w:div>
        <w:div w:id="952781573">
          <w:marLeft w:val="547"/>
          <w:marRight w:val="0"/>
          <w:marTop w:val="86"/>
          <w:marBottom w:val="0"/>
          <w:divBdr>
            <w:top w:val="none" w:sz="0" w:space="0" w:color="auto"/>
            <w:left w:val="none" w:sz="0" w:space="0" w:color="auto"/>
            <w:bottom w:val="none" w:sz="0" w:space="0" w:color="auto"/>
            <w:right w:val="none" w:sz="0" w:space="0" w:color="auto"/>
          </w:divBdr>
        </w:div>
      </w:divsChild>
    </w:div>
    <w:div w:id="556668245">
      <w:bodyDiv w:val="1"/>
      <w:marLeft w:val="0"/>
      <w:marRight w:val="0"/>
      <w:marTop w:val="0"/>
      <w:marBottom w:val="0"/>
      <w:divBdr>
        <w:top w:val="none" w:sz="0" w:space="0" w:color="auto"/>
        <w:left w:val="none" w:sz="0" w:space="0" w:color="auto"/>
        <w:bottom w:val="none" w:sz="0" w:space="0" w:color="auto"/>
        <w:right w:val="none" w:sz="0" w:space="0" w:color="auto"/>
      </w:divBdr>
      <w:divsChild>
        <w:div w:id="912355897">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KA 1">
      <a:dk1>
        <a:srgbClr val="023F88"/>
      </a:dk1>
      <a:lt1>
        <a:sysClr val="window" lastClr="FFFFFF"/>
      </a:lt1>
      <a:dk2>
        <a:srgbClr val="006CB7"/>
      </a:dk2>
      <a:lt2>
        <a:srgbClr val="E6E7E8"/>
      </a:lt2>
      <a:accent1>
        <a:srgbClr val="023F88"/>
      </a:accent1>
      <a:accent2>
        <a:srgbClr val="006CB7"/>
      </a:accent2>
      <a:accent3>
        <a:srgbClr val="53B7E8"/>
      </a:accent3>
      <a:accent4>
        <a:srgbClr val="BCBEC0"/>
      </a:accent4>
      <a:accent5>
        <a:srgbClr val="F26522"/>
      </a:accent5>
      <a:accent6>
        <a:srgbClr val="629B33"/>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Kongsberg Automotive</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Brekke</dc:creator>
  <cp:lastModifiedBy>Jon Munthe</cp:lastModifiedBy>
  <cp:revision>2</cp:revision>
  <cp:lastPrinted>2011-12-09T11:27:00Z</cp:lastPrinted>
  <dcterms:created xsi:type="dcterms:W3CDTF">2016-03-09T15:25:00Z</dcterms:created>
  <dcterms:modified xsi:type="dcterms:W3CDTF">2016-03-09T15:25:00Z</dcterms:modified>
</cp:coreProperties>
</file>